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spacing w:line="56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>
      <w:pPr>
        <w:pStyle w:val="3"/>
        <w:autoSpaceDE w:val="0"/>
        <w:spacing w:after="0" w:line="560" w:lineRule="exact"/>
        <w:jc w:val="center"/>
        <w:rPr>
          <w:rFonts w:hint="eastAsia" w:ascii="方正小标宋简体" w:hAnsi="Times New Roman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青岛市智能建造生产企业评价指标（试行）</w:t>
      </w:r>
    </w:p>
    <w:tbl>
      <w:tblPr>
        <w:tblStyle w:val="11"/>
        <w:tblW w:w="9249" w:type="dxa"/>
        <w:jc w:val="center"/>
        <w:tblLayout w:type="fixed"/>
        <w:tblCellMar>
          <w:top w:w="28" w:type="dxa"/>
          <w:left w:w="108" w:type="dxa"/>
          <w:bottom w:w="28" w:type="dxa"/>
          <w:right w:w="108" w:type="dxa"/>
        </w:tblCellMar>
      </w:tblPr>
      <w:tblGrid>
        <w:gridCol w:w="1361"/>
        <w:gridCol w:w="1677"/>
        <w:gridCol w:w="1050"/>
        <w:gridCol w:w="4293"/>
        <w:gridCol w:w="868"/>
      </w:tblGrid>
      <w:tr>
        <w:tblPrEx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320" w:lineRule="exact"/>
              <w:jc w:val="center"/>
              <w:rPr>
                <w:rFonts w:ascii="黑体" w:hAnsi="黑体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</w:rPr>
              <w:t>一级指标</w:t>
            </w:r>
          </w:p>
        </w:tc>
        <w:tc>
          <w:tcPr>
            <w:tcW w:w="16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320" w:lineRule="exact"/>
              <w:ind w:right="-34" w:rightChars="-16"/>
              <w:jc w:val="center"/>
              <w:rPr>
                <w:rFonts w:ascii="黑体" w:hAnsi="黑体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</w:rPr>
              <w:t>二级指标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320" w:lineRule="exact"/>
              <w:ind w:right="-34" w:rightChars="-16"/>
              <w:jc w:val="center"/>
              <w:rPr>
                <w:rFonts w:ascii="黑体" w:hAnsi="黑体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</w:rPr>
              <w:t>类别</w:t>
            </w:r>
          </w:p>
        </w:tc>
        <w:tc>
          <w:tcPr>
            <w:tcW w:w="4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320" w:lineRule="exact"/>
              <w:jc w:val="center"/>
              <w:rPr>
                <w:rFonts w:ascii="黑体" w:hAnsi="黑体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</w:rPr>
              <w:t>指标解释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320" w:lineRule="exact"/>
              <w:jc w:val="center"/>
              <w:rPr>
                <w:rFonts w:ascii="黑体" w:hAnsi="黑体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</w:rPr>
              <w:t>分值</w:t>
            </w:r>
          </w:p>
        </w:tc>
      </w:tr>
      <w:tr>
        <w:tblPrEx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36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90" w:lineRule="atLeast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</w:rPr>
              <w:t>基础建设（8分）</w:t>
            </w:r>
          </w:p>
        </w:tc>
        <w:tc>
          <w:tcPr>
            <w:tcW w:w="16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规划与管理</w:t>
            </w:r>
          </w:p>
          <w:p>
            <w:pPr>
              <w:widowControl/>
              <w:snapToGrid w:val="0"/>
              <w:spacing w:line="90" w:lineRule="atLeas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（4分）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90" w:lineRule="atLeas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控制项</w:t>
            </w:r>
          </w:p>
        </w:tc>
        <w:tc>
          <w:tcPr>
            <w:tcW w:w="4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widowControl/>
              <w:spacing w:line="90" w:lineRule="atLeast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建立与智能工厂相适应的企业发展规划、管理制度，明确</w:t>
            </w:r>
            <w:r>
              <w:rPr>
                <w:rFonts w:hint="eastAsia" w:ascii="仿宋_GB2312" w:eastAsia="仿宋_GB2312"/>
                <w:kern w:val="0"/>
                <w:sz w:val="24"/>
              </w:rPr>
              <w:t>发展思路、发展目标、人才培养、资金投入和保障措施等内容；执行发展目标并落实相关计划</w:t>
            </w: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。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90" w:lineRule="atLeas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4分</w:t>
            </w:r>
          </w:p>
        </w:tc>
      </w:tr>
      <w:tr>
        <w:tblPrEx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3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677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90" w:lineRule="atLeas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信息设施基础（4分）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90" w:lineRule="atLeas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控制项</w:t>
            </w:r>
          </w:p>
        </w:tc>
        <w:tc>
          <w:tcPr>
            <w:tcW w:w="4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widowControl/>
              <w:spacing w:line="90" w:lineRule="atLeast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建有覆盖工厂的网络基础设施，构建符合生产要求的网络基础环境。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90" w:lineRule="atLeas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2分</w:t>
            </w:r>
          </w:p>
        </w:tc>
      </w:tr>
      <w:tr>
        <w:tblPrEx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3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677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90" w:lineRule="atLeas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控制项</w:t>
            </w:r>
          </w:p>
        </w:tc>
        <w:tc>
          <w:tcPr>
            <w:tcW w:w="4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widowControl/>
              <w:spacing w:line="90" w:lineRule="atLeast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建立信息安全技术防护体系，具备网络防护、应急响应等信息安全保障能力。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90" w:lineRule="atLeas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2分</w:t>
            </w:r>
          </w:p>
        </w:tc>
      </w:tr>
      <w:tr>
        <w:tblPrEx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trHeight w:val="817" w:hRule="atLeast"/>
          <w:jc w:val="center"/>
        </w:trPr>
        <w:tc>
          <w:tcPr>
            <w:tcW w:w="136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320" w:lineRule="exact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</w:rPr>
              <w:t>智能生产（50分）</w:t>
            </w:r>
          </w:p>
        </w:tc>
        <w:tc>
          <w:tcPr>
            <w:tcW w:w="1677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数字深化设计</w:t>
            </w:r>
          </w:p>
          <w:p>
            <w:pPr>
              <w:widowControl/>
              <w:snapToGrid w:val="0"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（5分）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控制项</w:t>
            </w:r>
          </w:p>
        </w:tc>
        <w:tc>
          <w:tcPr>
            <w:tcW w:w="4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320" w:lineRule="exact"/>
              <w:jc w:val="left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应用设计、仿真软件，对产品进行标准化设计、工艺设计与仿真模拟。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3分</w:t>
            </w:r>
          </w:p>
        </w:tc>
      </w:tr>
      <w:tr>
        <w:tblPrEx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trHeight w:val="817" w:hRule="atLeast"/>
          <w:jc w:val="center"/>
        </w:trPr>
        <w:tc>
          <w:tcPr>
            <w:tcW w:w="13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677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320" w:lineRule="exact"/>
              <w:jc w:val="left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一般项</w:t>
            </w:r>
          </w:p>
        </w:tc>
        <w:tc>
          <w:tcPr>
            <w:tcW w:w="4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320" w:lineRule="exact"/>
              <w:jc w:val="left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通过协同平台，进行分工合作、交互协商，协同完成复杂产品设计任务。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2分</w:t>
            </w:r>
          </w:p>
        </w:tc>
      </w:tr>
      <w:tr>
        <w:tblPrEx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trHeight w:val="817" w:hRule="atLeast"/>
          <w:jc w:val="center"/>
        </w:trPr>
        <w:tc>
          <w:tcPr>
            <w:tcW w:w="13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677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智能设备与自动化生产线（20分）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320" w:lineRule="exact"/>
              <w:jc w:val="left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控制项</w:t>
            </w:r>
          </w:p>
        </w:tc>
        <w:tc>
          <w:tcPr>
            <w:tcW w:w="4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320" w:lineRule="exact"/>
              <w:jc w:val="left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采用智能化设备，进行生产加工检测，实现少人化工厂，每采用一种得2分。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 xml:space="preserve"> 10分</w:t>
            </w:r>
          </w:p>
        </w:tc>
      </w:tr>
      <w:tr>
        <w:tblPrEx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trHeight w:val="817" w:hRule="atLeast"/>
          <w:jc w:val="center"/>
        </w:trPr>
        <w:tc>
          <w:tcPr>
            <w:tcW w:w="13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677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320" w:lineRule="exact"/>
              <w:jc w:val="left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控制项</w:t>
            </w:r>
          </w:p>
        </w:tc>
        <w:tc>
          <w:tcPr>
            <w:tcW w:w="4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320" w:lineRule="exact"/>
              <w:jc w:val="left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应用自动化生产线，优化工艺流程，提升设备运转效率和产品质量，每采用一条生产线得2分。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 xml:space="preserve"> 10分</w:t>
            </w:r>
          </w:p>
        </w:tc>
      </w:tr>
      <w:tr>
        <w:tblPrEx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3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677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生产过程数字化（20分）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一般项</w:t>
            </w:r>
          </w:p>
        </w:tc>
        <w:tc>
          <w:tcPr>
            <w:tcW w:w="4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320" w:lineRule="exact"/>
              <w:jc w:val="left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基于采购提前期、安全库存和市场需求等，自动生成生产计划和物料需求，实现生产计划优化。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4分</w:t>
            </w:r>
          </w:p>
        </w:tc>
      </w:tr>
      <w:tr>
        <w:tblPrEx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3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677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一般项</w:t>
            </w:r>
          </w:p>
        </w:tc>
        <w:tc>
          <w:tcPr>
            <w:tcW w:w="4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320" w:lineRule="exact"/>
              <w:jc w:val="left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企业所需要的日报表、月报表和盘点表等相关数据报表能通过系统自动生成。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4分</w:t>
            </w:r>
          </w:p>
        </w:tc>
      </w:tr>
      <w:tr>
        <w:tblPrEx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3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677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90" w:lineRule="atLeas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一般项</w:t>
            </w:r>
          </w:p>
        </w:tc>
        <w:tc>
          <w:tcPr>
            <w:tcW w:w="4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widowControl/>
              <w:spacing w:line="90" w:lineRule="atLeast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建立可视化监控系统，实现设备状态、生产进度等的全面监控、自动报警、实时呈现。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90" w:lineRule="atLeas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4分</w:t>
            </w:r>
          </w:p>
        </w:tc>
      </w:tr>
      <w:tr>
        <w:tblPrEx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3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677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优选项</w:t>
            </w:r>
          </w:p>
        </w:tc>
        <w:tc>
          <w:tcPr>
            <w:tcW w:w="4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建设生产现场设备控制系统，实现生产设备、检测装备、物流装备等实时控制和高效协作。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4分</w:t>
            </w:r>
          </w:p>
        </w:tc>
      </w:tr>
      <w:tr>
        <w:tblPrEx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3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677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优选项</w:t>
            </w:r>
          </w:p>
        </w:tc>
        <w:tc>
          <w:tcPr>
            <w:tcW w:w="4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320" w:lineRule="exact"/>
              <w:jc w:val="left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建立高级计划与排产系统，能进行集中排程、可视化调度、大数据挖掘分析，及时准确掌握原料、设备、人员等生产信息，实现柔性排程与高效生产。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4分</w:t>
            </w:r>
          </w:p>
        </w:tc>
      </w:tr>
      <w:tr>
        <w:tblPrEx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trHeight w:val="446" w:hRule="atLeast"/>
          <w:jc w:val="center"/>
        </w:trPr>
        <w:tc>
          <w:tcPr>
            <w:tcW w:w="13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6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过程质量可追溯（5分）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一般项</w:t>
            </w:r>
          </w:p>
        </w:tc>
        <w:tc>
          <w:tcPr>
            <w:tcW w:w="4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在原辅料供应、生产加工、仓储物流等环节采用智能化技术设备实时记录产品质量信息，实现生产过程和物料质量的可追溯。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5分</w:t>
            </w:r>
          </w:p>
        </w:tc>
      </w:tr>
      <w:tr>
        <w:tblPrEx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136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32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</w:rPr>
              <w:t>智能运营</w:t>
            </w:r>
          </w:p>
          <w:p>
            <w:pPr>
              <w:widowControl/>
              <w:snapToGrid w:val="0"/>
              <w:spacing w:line="320" w:lineRule="exact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</w:rPr>
              <w:t>（18分）</w:t>
            </w:r>
          </w:p>
        </w:tc>
        <w:tc>
          <w:tcPr>
            <w:tcW w:w="1677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经营管理</w:t>
            </w:r>
          </w:p>
          <w:p>
            <w:pPr>
              <w:widowControl/>
              <w:snapToGrid w:val="0"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（10分）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一般项</w:t>
            </w:r>
          </w:p>
        </w:tc>
        <w:tc>
          <w:tcPr>
            <w:tcW w:w="4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320" w:lineRule="exact"/>
              <w:jc w:val="left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应用企业资源计划系统，实现生产、质量、仓储、物流、成本等企业经营管理功能。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4分</w:t>
            </w:r>
          </w:p>
        </w:tc>
      </w:tr>
      <w:tr>
        <w:tblPrEx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trHeight w:val="195" w:hRule="atLeast"/>
          <w:jc w:val="center"/>
        </w:trPr>
        <w:tc>
          <w:tcPr>
            <w:tcW w:w="13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677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195" w:lineRule="atLeas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优选项</w:t>
            </w:r>
          </w:p>
        </w:tc>
        <w:tc>
          <w:tcPr>
            <w:tcW w:w="4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195" w:lineRule="atLeast"/>
              <w:jc w:val="left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搭建供应链管理系统，开展客户需求、生产计划、产品设计和工艺文件等信息在企业间的同步更新、敏捷响应、闭环管理。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195" w:lineRule="atLeas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2分</w:t>
            </w:r>
          </w:p>
        </w:tc>
      </w:tr>
      <w:tr>
        <w:tblPrEx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trHeight w:val="253" w:hRule="atLeast"/>
          <w:jc w:val="center"/>
        </w:trPr>
        <w:tc>
          <w:tcPr>
            <w:tcW w:w="13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677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优选项</w:t>
            </w:r>
          </w:p>
        </w:tc>
        <w:tc>
          <w:tcPr>
            <w:tcW w:w="4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320" w:lineRule="exact"/>
              <w:jc w:val="left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建立客户关系管理系统，实现营销管理、客户服务等功能。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2分</w:t>
            </w:r>
          </w:p>
        </w:tc>
      </w:tr>
      <w:tr>
        <w:tblPrEx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3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677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90" w:lineRule="atLeas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优选项</w:t>
            </w:r>
          </w:p>
        </w:tc>
        <w:tc>
          <w:tcPr>
            <w:tcW w:w="4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widowControl/>
              <w:spacing w:line="90" w:lineRule="atLeast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应用产品全生命周期管理系统，保证产品信息从订单、设计、采购、生产、交付全过程受控。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90" w:lineRule="atLeas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2分</w:t>
            </w:r>
          </w:p>
        </w:tc>
      </w:tr>
      <w:tr>
        <w:tblPrEx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13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677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能源管理</w:t>
            </w:r>
          </w:p>
          <w:p>
            <w:pPr>
              <w:widowControl/>
              <w:snapToGrid w:val="0"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（5分）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一般项</w:t>
            </w:r>
          </w:p>
        </w:tc>
        <w:tc>
          <w:tcPr>
            <w:tcW w:w="4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通过感知装置和信息技术手段，对噪音分贝、扬尘污染等数据进行实时监测和自动化控制。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2分</w:t>
            </w:r>
          </w:p>
        </w:tc>
      </w:tr>
      <w:tr>
        <w:tblPrEx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13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677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一般项</w:t>
            </w:r>
          </w:p>
        </w:tc>
        <w:tc>
          <w:tcPr>
            <w:tcW w:w="4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采用能源管理系统，对主要耗能设备进行监测和能耗统计，保证工厂绿色、低碳、环保运行。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3分</w:t>
            </w:r>
          </w:p>
        </w:tc>
      </w:tr>
      <w:tr>
        <w:tblPrEx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13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6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数字孪生</w:t>
            </w:r>
          </w:p>
          <w:p>
            <w:pPr>
              <w:widowControl/>
              <w:snapToGrid w:val="0"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（3分）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优选项</w:t>
            </w:r>
          </w:p>
        </w:tc>
        <w:tc>
          <w:tcPr>
            <w:tcW w:w="4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基于数字孪生技术，搭建数字孪生工厂，实现工厂人员、生产、能耗、设备、环境等全要素数字镜像，通过调度大屏，实现工厂可视化、数字化运营。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3分</w:t>
            </w:r>
          </w:p>
        </w:tc>
      </w:tr>
      <w:tr>
        <w:tblPrEx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136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32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</w:rPr>
              <w:t>安全管理</w:t>
            </w:r>
          </w:p>
          <w:p>
            <w:pPr>
              <w:widowControl/>
              <w:snapToGrid w:val="0"/>
              <w:spacing w:line="320" w:lineRule="exact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</w:rPr>
              <w:t>（8分）</w:t>
            </w:r>
          </w:p>
        </w:tc>
        <w:tc>
          <w:tcPr>
            <w:tcW w:w="16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厂区安全管理</w:t>
            </w:r>
          </w:p>
          <w:p>
            <w:pPr>
              <w:widowControl/>
              <w:snapToGrid w:val="0"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（2分）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控制项</w:t>
            </w:r>
          </w:p>
        </w:tc>
        <w:tc>
          <w:tcPr>
            <w:tcW w:w="4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厂区部署安全监控和应急装备，通过安全风险识别，应急响应联动，提升厂区安全。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2分</w:t>
            </w:r>
          </w:p>
        </w:tc>
      </w:tr>
      <w:tr>
        <w:tblPrEx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13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677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生产安全管理</w:t>
            </w:r>
          </w:p>
          <w:p>
            <w:pPr>
              <w:widowControl/>
              <w:snapToGrid w:val="0"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（6分）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优选项</w:t>
            </w:r>
          </w:p>
        </w:tc>
        <w:tc>
          <w:tcPr>
            <w:tcW w:w="4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基于设备运行参数数据实时采集，实现对设备的故障分析和远程诊断，实现设备台账、点检、保养、维修等管理数字化。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3分</w:t>
            </w:r>
          </w:p>
        </w:tc>
      </w:tr>
      <w:tr>
        <w:tblPrEx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13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677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优选项</w:t>
            </w:r>
          </w:p>
        </w:tc>
        <w:tc>
          <w:tcPr>
            <w:tcW w:w="4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建有应急指挥中心，基于应急预案库自动给出管理建议，缩短突发事件应急响应时间。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3分</w:t>
            </w:r>
          </w:p>
        </w:tc>
      </w:tr>
      <w:tr>
        <w:tblPrEx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136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</w:rPr>
              <w:t>研发创新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</w:rPr>
              <w:t>（16分）</w:t>
            </w:r>
          </w:p>
        </w:tc>
        <w:tc>
          <w:tcPr>
            <w:tcW w:w="16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企业荣誉</w:t>
            </w:r>
          </w:p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（4分）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优选项</w:t>
            </w:r>
          </w:p>
        </w:tc>
        <w:tc>
          <w:tcPr>
            <w:tcW w:w="4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企业被评为绿色工厂、产业基地、高新技术企业、专精特新企业，建立市级以上技术创新中心、重点实验室和新型研发机构等，国家级1.5分，省级1分，市级0.5分。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4分</w:t>
            </w:r>
          </w:p>
        </w:tc>
      </w:tr>
      <w:tr>
        <w:tblPrEx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13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677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科技创新能力</w:t>
            </w:r>
          </w:p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（10分）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优选项</w:t>
            </w:r>
          </w:p>
        </w:tc>
        <w:tc>
          <w:tcPr>
            <w:tcW w:w="4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与智能建造相关的科研成果获国家级奖项：一等奖1分、二等奖0.5分，省级奖项：一等奖0.5分。</w:t>
            </w:r>
          </w:p>
          <w:p>
            <w:pPr>
              <w:widowControl/>
              <w:spacing w:line="320" w:lineRule="exact"/>
              <w:jc w:val="left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注：同一成果获得不同级别奖项按最高级别加分，不重复累加；每类成果至多得1分；该项至多得3分。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3分</w:t>
            </w:r>
          </w:p>
        </w:tc>
      </w:tr>
      <w:tr>
        <w:tblPrEx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13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677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优选项</w:t>
            </w:r>
          </w:p>
        </w:tc>
        <w:tc>
          <w:tcPr>
            <w:tcW w:w="4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与智能建造相关的科技成果：</w:t>
            </w:r>
          </w:p>
          <w:p>
            <w:pPr>
              <w:widowControl/>
              <w:spacing w:line="320" w:lineRule="exact"/>
              <w:jc w:val="left"/>
              <w:rPr>
                <w:rFonts w:hint="eastAsia"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（1）获得国家发明专利授权每项加1分；</w:t>
            </w:r>
          </w:p>
          <w:p>
            <w:pPr>
              <w:widowControl/>
              <w:spacing w:line="320" w:lineRule="exact"/>
              <w:jc w:val="left"/>
              <w:rPr>
                <w:rFonts w:hint="eastAsia"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（2）获行业协会、省部级工法每项加1分；</w:t>
            </w:r>
          </w:p>
          <w:p>
            <w:pPr>
              <w:widowControl/>
              <w:spacing w:line="320" w:lineRule="exact"/>
              <w:jc w:val="left"/>
              <w:rPr>
                <w:rFonts w:hint="eastAsia"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（3）举办全国观摩会、交流会，每次加1.5分；省级观摩会、交流会，每次加1分；市级观摩会、交流会，每次加0.5分；</w:t>
            </w:r>
          </w:p>
          <w:p>
            <w:pPr>
              <w:widowControl/>
              <w:spacing w:line="320" w:lineRule="exact"/>
              <w:jc w:val="left"/>
              <w:rPr>
                <w:rFonts w:hint="eastAsia"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（4）入选市级及以上优秀做法的项目，国家级加1分，省市级加0.5分；</w:t>
            </w:r>
          </w:p>
          <w:p>
            <w:pPr>
              <w:widowControl/>
              <w:spacing w:line="320" w:lineRule="exact"/>
              <w:jc w:val="left"/>
              <w:rPr>
                <w:rFonts w:hint="eastAsia"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（5）参与标准编制，国标1.5分，行标1分，地标0.5分。</w:t>
            </w:r>
          </w:p>
          <w:p>
            <w:pPr>
              <w:widowControl/>
              <w:spacing w:line="320" w:lineRule="exact"/>
              <w:jc w:val="left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注：该项至多得5分。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7分</w:t>
            </w:r>
          </w:p>
        </w:tc>
      </w:tr>
      <w:tr>
        <w:tblPrEx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13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6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软件、设备国产化（2分）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优选项</w:t>
            </w:r>
          </w:p>
        </w:tc>
        <w:tc>
          <w:tcPr>
            <w:tcW w:w="4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使用基于国产内核开发的各种软件或者国产化的生产设备，并具备国内领先技术。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2分</w:t>
            </w:r>
          </w:p>
        </w:tc>
      </w:tr>
    </w:tbl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2098" w:right="1474" w:bottom="1985" w:left="1588" w:header="851" w:footer="1418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F765C2DA-82AC-487E-BAA4-E5118DB9094A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F5BC3C81-D442-425F-8448-7094733DEAF0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0A893887-8875-465A-AA32-FF0DF023F373}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文星标宋">
    <w:altName w:val="微软雅黑"/>
    <w:panose1 w:val="02010604000101010101"/>
    <w:charset w:val="86"/>
    <w:family w:val="auto"/>
    <w:pitch w:val="default"/>
    <w:sig w:usb0="00000000" w:usb1="00000000" w:usb2="00000010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4" w:fontKey="{923D93F2-F39F-481F-A597-917AE42FB458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 PAGE   \* MERGEFORMAT 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 PAGE   \* MERGEFORMAT 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2 -</w:t>
    </w:r>
    <w:r>
      <w:rPr>
        <w:rFonts w:ascii="宋体" w:hAnsi="宋体"/>
        <w:sz w:val="28"/>
        <w:szCs w:val="28"/>
      </w:rPr>
      <w:fldChar w:fldCharType="end"/>
    </w:r>
  </w:p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documentProtection w:enforcement="0"/>
  <w:defaultTabStop w:val="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A3ODBmZTMxYzc3ZmVhNTMwOGMwMzdjNWUxNDAxOTcifQ=="/>
  </w:docVars>
  <w:rsids>
    <w:rsidRoot w:val="041514DC"/>
    <w:rsid w:val="00224DC4"/>
    <w:rsid w:val="00232624"/>
    <w:rsid w:val="00275B15"/>
    <w:rsid w:val="00461BCC"/>
    <w:rsid w:val="004A7886"/>
    <w:rsid w:val="00661584"/>
    <w:rsid w:val="006A30D3"/>
    <w:rsid w:val="00810433"/>
    <w:rsid w:val="0089601A"/>
    <w:rsid w:val="00A22FB1"/>
    <w:rsid w:val="00A93CBA"/>
    <w:rsid w:val="00B51E44"/>
    <w:rsid w:val="00BD469A"/>
    <w:rsid w:val="00E55CE5"/>
    <w:rsid w:val="00EB610B"/>
    <w:rsid w:val="00F66C17"/>
    <w:rsid w:val="00F76188"/>
    <w:rsid w:val="041514DC"/>
    <w:rsid w:val="07990616"/>
    <w:rsid w:val="09750C0F"/>
    <w:rsid w:val="1A1316B3"/>
    <w:rsid w:val="21A734D8"/>
    <w:rsid w:val="32E1156B"/>
    <w:rsid w:val="38A66578"/>
    <w:rsid w:val="3F3502DE"/>
    <w:rsid w:val="432F53AF"/>
    <w:rsid w:val="464C2494"/>
    <w:rsid w:val="4F530677"/>
    <w:rsid w:val="52846D9A"/>
    <w:rsid w:val="547A1DD9"/>
    <w:rsid w:val="54F860F5"/>
    <w:rsid w:val="57F10A2D"/>
    <w:rsid w:val="58F60C2E"/>
    <w:rsid w:val="60991AB9"/>
    <w:rsid w:val="66507267"/>
    <w:rsid w:val="6D543EB3"/>
    <w:rsid w:val="7016507D"/>
    <w:rsid w:val="77FD770D"/>
    <w:rsid w:val="78947487"/>
    <w:rsid w:val="7A7A32B6"/>
    <w:rsid w:val="7C8B79F4"/>
    <w:rsid w:val="7D4F2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3">
    <w:name w:val="Default Paragraph Font"/>
    <w:autoRedefine/>
    <w:semiHidden/>
    <w:unhideWhenUsed/>
    <w:qFormat/>
    <w:uiPriority w:val="1"/>
  </w:style>
  <w:style w:type="table" w:default="1" w:styleId="11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basedOn w:val="1"/>
    <w:autoRedefine/>
    <w:qFormat/>
    <w:uiPriority w:val="0"/>
    <w:pPr>
      <w:snapToGrid w:val="0"/>
      <w:jc w:val="left"/>
    </w:pPr>
    <w:rPr>
      <w:sz w:val="18"/>
      <w:szCs w:val="18"/>
    </w:rPr>
  </w:style>
  <w:style w:type="paragraph" w:styleId="3">
    <w:name w:val="Body Text"/>
    <w:basedOn w:val="1"/>
    <w:link w:val="18"/>
    <w:autoRedefine/>
    <w:qFormat/>
    <w:uiPriority w:val="0"/>
    <w:pPr>
      <w:spacing w:after="120"/>
    </w:pPr>
  </w:style>
  <w:style w:type="paragraph" w:styleId="4">
    <w:name w:val="Body Text Indent"/>
    <w:basedOn w:val="1"/>
    <w:link w:val="19"/>
    <w:autoRedefine/>
    <w:qFormat/>
    <w:uiPriority w:val="0"/>
    <w:pPr>
      <w:spacing w:after="120"/>
      <w:ind w:left="420" w:leftChars="200"/>
    </w:pPr>
  </w:style>
  <w:style w:type="paragraph" w:styleId="5">
    <w:name w:val="Date"/>
    <w:basedOn w:val="1"/>
    <w:next w:val="1"/>
    <w:link w:val="16"/>
    <w:autoRedefine/>
    <w:qFormat/>
    <w:uiPriority w:val="0"/>
    <w:pPr>
      <w:ind w:left="100" w:leftChars="2500"/>
    </w:pPr>
  </w:style>
  <w:style w:type="paragraph" w:styleId="6">
    <w:name w:val="Balloon Text"/>
    <w:basedOn w:val="1"/>
    <w:link w:val="21"/>
    <w:autoRedefine/>
    <w:qFormat/>
    <w:uiPriority w:val="0"/>
    <w:rPr>
      <w:sz w:val="18"/>
      <w:szCs w:val="18"/>
    </w:rPr>
  </w:style>
  <w:style w:type="paragraph" w:styleId="7">
    <w:name w:val="footer"/>
    <w:basedOn w:val="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9">
    <w:name w:val="toc 1"/>
    <w:basedOn w:val="1"/>
    <w:next w:val="1"/>
    <w:autoRedefine/>
    <w:unhideWhenUsed/>
    <w:qFormat/>
    <w:uiPriority w:val="39"/>
    <w:rPr>
      <w:rFonts w:ascii="Times New Roman" w:hAnsi="Times New Roman" w:cs="Times New Roman"/>
      <w:szCs w:val="21"/>
    </w:rPr>
  </w:style>
  <w:style w:type="paragraph" w:styleId="10">
    <w:name w:val="Body Text First Indent 2"/>
    <w:basedOn w:val="4"/>
    <w:link w:val="20"/>
    <w:autoRedefine/>
    <w:qFormat/>
    <w:uiPriority w:val="0"/>
    <w:pPr>
      <w:ind w:firstLine="420" w:firstLineChars="200"/>
    </w:pPr>
  </w:style>
  <w:style w:type="table" w:styleId="12">
    <w:name w:val="Table Grid"/>
    <w:basedOn w:val="11"/>
    <w:autoRedefine/>
    <w:qFormat/>
    <w:uiPriority w:val="0"/>
    <w:pPr>
      <w:widowControl w:val="0"/>
      <w:jc w:val="both"/>
    </w:pPr>
    <w:rPr>
      <w:rFonts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  <w:style w:type="character" w:customStyle="1" w:styleId="14">
    <w:name w:val="font41"/>
    <w:basedOn w:val="13"/>
    <w:autoRedefine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5">
    <w:name w:val="font51"/>
    <w:basedOn w:val="13"/>
    <w:autoRedefine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">
    <w:name w:val="日期 Char"/>
    <w:basedOn w:val="13"/>
    <w:link w:val="5"/>
    <w:autoRedefine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17">
    <w:name w:val="NormalCharacter"/>
    <w:autoRedefine/>
    <w:semiHidden/>
    <w:qFormat/>
    <w:uiPriority w:val="0"/>
  </w:style>
  <w:style w:type="character" w:customStyle="1" w:styleId="18">
    <w:name w:val="正文文本 Char"/>
    <w:basedOn w:val="13"/>
    <w:link w:val="3"/>
    <w:autoRedefine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19">
    <w:name w:val="正文文本缩进 Char"/>
    <w:basedOn w:val="13"/>
    <w:link w:val="4"/>
    <w:autoRedefine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20">
    <w:name w:val="正文首行缩进 2 Char"/>
    <w:basedOn w:val="19"/>
    <w:link w:val="10"/>
    <w:autoRedefine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21">
    <w:name w:val="批注框文本 Char"/>
    <w:basedOn w:val="13"/>
    <w:link w:val="6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3</Pages>
  <Words>559</Words>
  <Characters>3190</Characters>
  <Lines>26</Lines>
  <Paragraphs>7</Paragraphs>
  <TotalTime>11</TotalTime>
  <ScaleCrop>false</ScaleCrop>
  <LinksUpToDate>false</LinksUpToDate>
  <CharactersWithSpaces>3742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2024-04-30T08:22:00Z</dcterms:created>
  <dc:creator>SUN</dc:creator>
  <cp:lastModifiedBy>Administrator</cp:lastModifiedBy>
  <cp:lastPrinted>2024-04-28T06:52:00Z</cp:lastPrinted>
  <dcterms:modified xsi:type="dcterms:W3CDTF">2024-04-30T09:06:45Z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876D5C62BA4A41C1A464F864CC7EC24F_13</vt:lpwstr>
  </property>
</Properties>
</file>