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黑体" w:hAnsi="黑体" w:eastAsia="黑体" w:cs="黑体"/>
          <w:b/>
          <w:bCs/>
          <w:sz w:val="52"/>
          <w:szCs w:val="52"/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b/>
          <w:bCs/>
          <w:sz w:val="52"/>
          <w:szCs w:val="52"/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b/>
          <w:bCs/>
          <w:sz w:val="52"/>
          <w:szCs w:val="52"/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b/>
          <w:bCs/>
          <w:sz w:val="52"/>
          <w:szCs w:val="52"/>
          <w:lang w:val="en-US" w:eastAsia="zh-CN"/>
        </w:rPr>
      </w:pPr>
      <w:r>
        <w:rPr>
          <w:rFonts w:hint="eastAsia" w:ascii="黑体" w:hAnsi="黑体" w:eastAsia="黑体" w:cs="黑体"/>
          <w:b/>
          <w:bCs/>
          <w:sz w:val="52"/>
          <w:szCs w:val="52"/>
          <w:lang w:val="en-US" w:eastAsia="zh-CN"/>
        </w:rPr>
        <w:t>全过程数字化管理操作说明</w:t>
      </w:r>
    </w:p>
    <w:p>
      <w:pPr>
        <w:jc w:val="center"/>
        <w:rPr>
          <w:rFonts w:hint="eastAsia" w:ascii="黑体" w:hAnsi="黑体" w:eastAsia="黑体" w:cs="黑体"/>
          <w:b/>
          <w:bCs/>
          <w:sz w:val="52"/>
          <w:szCs w:val="52"/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b/>
          <w:bCs/>
          <w:sz w:val="52"/>
          <w:szCs w:val="52"/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b/>
          <w:bCs/>
          <w:sz w:val="52"/>
          <w:szCs w:val="52"/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b/>
          <w:bCs/>
          <w:sz w:val="52"/>
          <w:szCs w:val="52"/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b/>
          <w:bCs/>
          <w:sz w:val="52"/>
          <w:szCs w:val="52"/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b/>
          <w:bCs/>
          <w:sz w:val="52"/>
          <w:szCs w:val="52"/>
          <w:lang w:val="en-US" w:eastAsia="zh-CN"/>
        </w:rPr>
      </w:pPr>
    </w:p>
    <w:p>
      <w:pPr>
        <w:jc w:val="both"/>
        <w:rPr>
          <w:rFonts w:hint="eastAsia" w:ascii="黑体" w:hAnsi="黑体" w:eastAsia="黑体" w:cs="黑体"/>
          <w:b/>
          <w:bCs/>
          <w:sz w:val="52"/>
          <w:szCs w:val="52"/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b/>
          <w:bCs/>
          <w:sz w:val="52"/>
          <w:szCs w:val="52"/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b/>
          <w:bCs/>
          <w:sz w:val="52"/>
          <w:szCs w:val="52"/>
          <w:lang w:val="en-US" w:eastAsia="zh-CN"/>
        </w:rPr>
      </w:pPr>
    </w:p>
    <w:p>
      <w:pPr>
        <w:jc w:val="center"/>
        <w:rPr>
          <w:rFonts w:hint="default" w:ascii="黑体" w:hAnsi="黑体" w:eastAsia="黑体" w:cs="黑体"/>
          <w:b/>
          <w:bCs/>
          <w:sz w:val="32"/>
          <w:szCs w:val="32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黑体" w:hAnsi="黑体" w:eastAsia="黑体" w:cs="黑体"/>
          <w:b/>
          <w:bCs/>
          <w:sz w:val="32"/>
          <w:szCs w:val="32"/>
          <w:lang w:val="en-US" w:eastAsia="zh-CN"/>
        </w:rPr>
        <w:t>2024年6</w:t>
      </w:r>
      <w:bookmarkStart w:id="20" w:name="_GoBack"/>
      <w:bookmarkEnd w:id="20"/>
      <w:r>
        <w:rPr>
          <w:rFonts w:hint="eastAsia" w:ascii="黑体" w:hAnsi="黑体" w:eastAsia="黑体" w:cs="黑体"/>
          <w:b/>
          <w:bCs/>
          <w:sz w:val="32"/>
          <w:szCs w:val="32"/>
          <w:lang w:val="en-US" w:eastAsia="zh-CN"/>
        </w:rPr>
        <w:t>月</w:t>
      </w:r>
    </w:p>
    <w:p>
      <w:pPr>
        <w:bidi w:val="0"/>
        <w:rPr>
          <w:rFonts w:hint="eastAsia"/>
          <w:sz w:val="28"/>
          <w:szCs w:val="28"/>
          <w:lang w:val="en-US" w:eastAsia="zh-CN"/>
        </w:rPr>
      </w:pPr>
    </w:p>
    <w:sdt>
      <w:sdtPr>
        <w:rPr>
          <w:rFonts w:ascii="宋体" w:hAnsi="宋体" w:eastAsia="宋体" w:cstheme="minorBidi"/>
          <w:kern w:val="2"/>
          <w:sz w:val="28"/>
          <w:szCs w:val="28"/>
          <w:lang w:val="en-US" w:eastAsia="zh-CN" w:bidi="ar-SA"/>
        </w:rPr>
        <w:id w:val="147457171"/>
        <w15:color w:val="DBDBDB"/>
        <w:docPartObj>
          <w:docPartGallery w:val="Table of Contents"/>
          <w:docPartUnique/>
        </w:docPartObj>
      </w:sdtPr>
      <w:sdtEndPr>
        <w:rPr>
          <w:rFonts w:hint="eastAsia" w:asciiTheme="minorHAnsi" w:hAnsiTheme="minorHAnsi" w:eastAsiaTheme="minorEastAsia" w:cstheme="minorBidi"/>
          <w:b/>
          <w:kern w:val="2"/>
          <w:sz w:val="21"/>
          <w:szCs w:val="24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sz w:val="28"/>
              <w:szCs w:val="28"/>
            </w:rPr>
          </w:pPr>
          <w:r>
            <w:rPr>
              <w:rFonts w:ascii="宋体" w:hAnsi="宋体" w:eastAsia="宋体"/>
              <w:sz w:val="28"/>
              <w:szCs w:val="28"/>
            </w:rPr>
            <w:t>目录</w:t>
          </w:r>
        </w:p>
        <w:p>
          <w:pPr>
            <w:pStyle w:val="15"/>
            <w:tabs>
              <w:tab w:val="right" w:leader="dot" w:pos="8306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TOC \o "1-3" \h \u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_Toc23788 </w:instrText>
          </w:r>
          <w:r>
            <w:rPr>
              <w:sz w:val="28"/>
              <w:szCs w:val="28"/>
            </w:rPr>
            <w:fldChar w:fldCharType="separate"/>
          </w:r>
          <w:r>
            <w:rPr>
              <w:rFonts w:hint="default"/>
              <w:sz w:val="28"/>
              <w:szCs w:val="28"/>
              <w:lang w:val="en-US" w:eastAsia="zh-CN"/>
            </w:rPr>
            <w:t xml:space="preserve">1. </w:t>
          </w:r>
          <w:r>
            <w:rPr>
              <w:rFonts w:hint="eastAsia"/>
              <w:sz w:val="28"/>
              <w:szCs w:val="28"/>
              <w:lang w:val="en-US" w:eastAsia="zh-CN"/>
            </w:rPr>
            <w:t>建设单位操作说明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_Toc23788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1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>
          <w:pPr>
            <w:pStyle w:val="16"/>
            <w:tabs>
              <w:tab w:val="right" w:leader="dot" w:pos="8306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_Toc15095 </w:instrText>
          </w:r>
          <w:r>
            <w:rPr>
              <w:sz w:val="28"/>
              <w:szCs w:val="28"/>
            </w:rPr>
            <w:fldChar w:fldCharType="separate"/>
          </w:r>
          <w:r>
            <w:rPr>
              <w:rFonts w:hint="default"/>
              <w:sz w:val="28"/>
              <w:szCs w:val="28"/>
              <w:lang w:val="en-US" w:eastAsia="zh-CN"/>
            </w:rPr>
            <w:t xml:space="preserve">1.1. </w:t>
          </w:r>
          <w:r>
            <w:rPr>
              <w:rFonts w:hint="eastAsia"/>
              <w:sz w:val="28"/>
              <w:szCs w:val="28"/>
              <w:lang w:val="en-US" w:eastAsia="zh-CN"/>
            </w:rPr>
            <w:t>DWG图纸在线查看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_Toc15095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1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_Toc24080 </w:instrText>
          </w:r>
          <w:r>
            <w:rPr>
              <w:sz w:val="28"/>
              <w:szCs w:val="28"/>
            </w:rPr>
            <w:fldChar w:fldCharType="separate"/>
          </w:r>
          <w:r>
            <w:rPr>
              <w:rFonts w:hint="default"/>
              <w:sz w:val="28"/>
              <w:szCs w:val="28"/>
              <w:lang w:val="en-US" w:eastAsia="zh-CN"/>
            </w:rPr>
            <w:t xml:space="preserve">1.1.1. </w:t>
          </w:r>
          <w:r>
            <w:rPr>
              <w:rFonts w:hint="eastAsia"/>
              <w:sz w:val="28"/>
              <w:szCs w:val="28"/>
              <w:lang w:val="en-US" w:eastAsia="zh-CN"/>
            </w:rPr>
            <w:t>在附件中上传DWG文件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_Toc24080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1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_Toc4807 </w:instrText>
          </w:r>
          <w:r>
            <w:rPr>
              <w:sz w:val="28"/>
              <w:szCs w:val="28"/>
            </w:rPr>
            <w:fldChar w:fldCharType="separate"/>
          </w:r>
          <w:r>
            <w:rPr>
              <w:rFonts w:hint="default"/>
              <w:sz w:val="28"/>
              <w:szCs w:val="28"/>
              <w:lang w:val="en-US" w:eastAsia="zh-CN"/>
            </w:rPr>
            <w:t xml:space="preserve">1.1.2. </w:t>
          </w:r>
          <w:r>
            <w:rPr>
              <w:rFonts w:hint="eastAsia"/>
              <w:sz w:val="28"/>
              <w:szCs w:val="28"/>
              <w:lang w:val="en-US" w:eastAsia="zh-CN"/>
            </w:rPr>
            <w:t>查看DWG文件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_Toc4807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2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_Toc22921 </w:instrText>
          </w:r>
          <w:r>
            <w:rPr>
              <w:sz w:val="28"/>
              <w:szCs w:val="28"/>
            </w:rPr>
            <w:fldChar w:fldCharType="separate"/>
          </w:r>
          <w:r>
            <w:rPr>
              <w:rFonts w:hint="default"/>
              <w:sz w:val="28"/>
              <w:szCs w:val="28"/>
              <w:lang w:val="en-US" w:eastAsia="zh-CN"/>
            </w:rPr>
            <w:t xml:space="preserve">1.1.3. </w:t>
          </w:r>
          <w:r>
            <w:rPr>
              <w:rFonts w:hint="eastAsia"/>
              <w:sz w:val="28"/>
              <w:szCs w:val="28"/>
              <w:lang w:val="en-US" w:eastAsia="zh-CN"/>
            </w:rPr>
            <w:t>辅助工具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_Toc22921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3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>
          <w:pPr>
            <w:pStyle w:val="16"/>
            <w:tabs>
              <w:tab w:val="right" w:leader="dot" w:pos="8306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_Toc22975 </w:instrText>
          </w:r>
          <w:r>
            <w:rPr>
              <w:sz w:val="28"/>
              <w:szCs w:val="28"/>
            </w:rPr>
            <w:fldChar w:fldCharType="separate"/>
          </w:r>
          <w:r>
            <w:rPr>
              <w:rFonts w:hint="default"/>
              <w:sz w:val="28"/>
              <w:szCs w:val="28"/>
              <w:lang w:val="en-US" w:eastAsia="zh-CN"/>
            </w:rPr>
            <w:t xml:space="preserve">1.2. </w:t>
          </w:r>
          <w:r>
            <w:rPr>
              <w:rFonts w:hint="eastAsia"/>
              <w:sz w:val="28"/>
              <w:szCs w:val="28"/>
              <w:lang w:val="en-US" w:eastAsia="zh-CN"/>
            </w:rPr>
            <w:t>竣工图管理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_Toc22975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5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_Toc4638 </w:instrText>
          </w:r>
          <w:r>
            <w:rPr>
              <w:sz w:val="28"/>
              <w:szCs w:val="28"/>
            </w:rPr>
            <w:fldChar w:fldCharType="separate"/>
          </w:r>
          <w:r>
            <w:rPr>
              <w:rFonts w:hint="default"/>
              <w:sz w:val="28"/>
              <w:szCs w:val="28"/>
              <w:lang w:val="en-US" w:eastAsia="zh-CN"/>
            </w:rPr>
            <w:t xml:space="preserve">1.2.1. </w:t>
          </w:r>
          <w:r>
            <w:rPr>
              <w:rFonts w:hint="eastAsia"/>
              <w:sz w:val="28"/>
              <w:szCs w:val="28"/>
              <w:lang w:val="en-US" w:eastAsia="zh-CN"/>
            </w:rPr>
            <w:t>发起竣工图编制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_Toc4638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5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_Toc23219 </w:instrText>
          </w:r>
          <w:r>
            <w:rPr>
              <w:sz w:val="28"/>
              <w:szCs w:val="28"/>
            </w:rPr>
            <w:fldChar w:fldCharType="separate"/>
          </w:r>
          <w:r>
            <w:rPr>
              <w:rFonts w:hint="default"/>
              <w:sz w:val="28"/>
              <w:szCs w:val="28"/>
              <w:lang w:val="en-US" w:eastAsia="zh-CN"/>
            </w:rPr>
            <w:t xml:space="preserve">1.2.2. </w:t>
          </w:r>
          <w:r>
            <w:rPr>
              <w:rFonts w:hint="eastAsia"/>
              <w:sz w:val="28"/>
              <w:szCs w:val="28"/>
              <w:lang w:val="en-US" w:eastAsia="zh-CN"/>
            </w:rPr>
            <w:t>录入施工/监理单位信息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_Toc23219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6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_Toc5582 </w:instrText>
          </w:r>
          <w:r>
            <w:rPr>
              <w:sz w:val="28"/>
              <w:szCs w:val="28"/>
            </w:rPr>
            <w:fldChar w:fldCharType="separate"/>
          </w:r>
          <w:r>
            <w:rPr>
              <w:rFonts w:hint="default"/>
              <w:sz w:val="28"/>
              <w:szCs w:val="28"/>
              <w:lang w:val="en-US" w:eastAsia="zh-CN"/>
            </w:rPr>
            <w:t xml:space="preserve">1.2.3. </w:t>
          </w:r>
          <w:r>
            <w:rPr>
              <w:rFonts w:hint="eastAsia"/>
              <w:sz w:val="28"/>
              <w:szCs w:val="28"/>
              <w:lang w:val="en-US" w:eastAsia="zh-CN"/>
            </w:rPr>
            <w:t>建设单位确认图纸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_Toc5582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7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_Toc10267 </w:instrText>
          </w:r>
          <w:r>
            <w:rPr>
              <w:sz w:val="28"/>
              <w:szCs w:val="28"/>
            </w:rPr>
            <w:fldChar w:fldCharType="separate"/>
          </w:r>
          <w:r>
            <w:rPr>
              <w:rFonts w:hint="default"/>
              <w:sz w:val="28"/>
              <w:szCs w:val="28"/>
              <w:lang w:val="en-US" w:eastAsia="zh-CN"/>
            </w:rPr>
            <w:t xml:space="preserve">1.2.4. </w:t>
          </w:r>
          <w:r>
            <w:rPr>
              <w:rFonts w:hint="eastAsia"/>
              <w:sz w:val="28"/>
              <w:szCs w:val="28"/>
              <w:lang w:val="en-US" w:eastAsia="zh-CN"/>
            </w:rPr>
            <w:t>加盖竣工图章和图纸码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_Toc10267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9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_Toc24519 </w:instrText>
          </w:r>
          <w:r>
            <w:rPr>
              <w:sz w:val="28"/>
              <w:szCs w:val="28"/>
            </w:rPr>
            <w:fldChar w:fldCharType="separate"/>
          </w:r>
          <w:r>
            <w:rPr>
              <w:rFonts w:hint="default"/>
              <w:sz w:val="28"/>
              <w:szCs w:val="28"/>
              <w:lang w:val="en-US" w:eastAsia="zh-CN"/>
            </w:rPr>
            <w:t xml:space="preserve">1.2.5. </w:t>
          </w:r>
          <w:r>
            <w:rPr>
              <w:rFonts w:hint="eastAsia"/>
              <w:sz w:val="28"/>
              <w:szCs w:val="28"/>
              <w:lang w:val="en-US" w:eastAsia="zh-CN"/>
            </w:rPr>
            <w:t>撤销编制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_Toc24519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11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>
          <w:pPr>
            <w:pStyle w:val="15"/>
            <w:tabs>
              <w:tab w:val="right" w:leader="dot" w:pos="8306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_Toc190 </w:instrText>
          </w:r>
          <w:r>
            <w:rPr>
              <w:sz w:val="28"/>
              <w:szCs w:val="28"/>
            </w:rPr>
            <w:fldChar w:fldCharType="separate"/>
          </w:r>
          <w:r>
            <w:rPr>
              <w:rFonts w:hint="default"/>
              <w:sz w:val="28"/>
              <w:szCs w:val="28"/>
              <w:lang w:val="en-US" w:eastAsia="zh-CN"/>
            </w:rPr>
            <w:t xml:space="preserve">2. </w:t>
          </w:r>
          <w:r>
            <w:rPr>
              <w:rFonts w:hint="eastAsia"/>
              <w:sz w:val="28"/>
              <w:szCs w:val="28"/>
              <w:lang w:val="en-US" w:eastAsia="zh-CN"/>
            </w:rPr>
            <w:t>施工/监理单位竣工图管理操作说明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_Toc190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13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>
          <w:pPr>
            <w:pStyle w:val="16"/>
            <w:tabs>
              <w:tab w:val="right" w:leader="dot" w:pos="8306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_Toc19156 </w:instrText>
          </w:r>
          <w:r>
            <w:rPr>
              <w:sz w:val="28"/>
              <w:szCs w:val="28"/>
            </w:rPr>
            <w:fldChar w:fldCharType="separate"/>
          </w:r>
          <w:r>
            <w:rPr>
              <w:rFonts w:hint="default"/>
              <w:sz w:val="28"/>
              <w:szCs w:val="28"/>
              <w:lang w:val="en-US" w:eastAsia="zh-CN"/>
            </w:rPr>
            <w:t xml:space="preserve">2.1. </w:t>
          </w:r>
          <w:r>
            <w:rPr>
              <w:rFonts w:hint="eastAsia"/>
              <w:sz w:val="28"/>
              <w:szCs w:val="28"/>
              <w:lang w:val="en-US" w:eastAsia="zh-CN"/>
            </w:rPr>
            <w:t>登录系统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_Toc19156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13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>
          <w:pPr>
            <w:pStyle w:val="16"/>
            <w:tabs>
              <w:tab w:val="right" w:leader="dot" w:pos="8306"/>
            </w:tabs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HYPERLINK \l _Toc5843 </w:instrText>
          </w:r>
          <w:r>
            <w:rPr>
              <w:sz w:val="28"/>
              <w:szCs w:val="28"/>
            </w:rPr>
            <w:fldChar w:fldCharType="separate"/>
          </w:r>
          <w:r>
            <w:rPr>
              <w:rFonts w:hint="default"/>
              <w:sz w:val="28"/>
              <w:szCs w:val="28"/>
              <w:lang w:val="en-US" w:eastAsia="zh-CN"/>
            </w:rPr>
            <w:t xml:space="preserve">2.2. </w:t>
          </w:r>
          <w:r>
            <w:rPr>
              <w:rFonts w:hint="eastAsia"/>
              <w:sz w:val="28"/>
              <w:szCs w:val="28"/>
              <w:lang w:val="en-US" w:eastAsia="zh-CN"/>
            </w:rPr>
            <w:t>确认图纸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_Toc5843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14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>
          <w:pPr>
            <w:rPr>
              <w:sz w:val="28"/>
              <w:szCs w:val="28"/>
            </w:rPr>
          </w:pPr>
          <w:r>
            <w:rPr>
              <w:sz w:val="28"/>
              <w:szCs w:val="28"/>
            </w:rPr>
            <w:fldChar w:fldCharType="end"/>
          </w:r>
        </w:p>
        <w:p>
          <w:pPr>
            <w:bidi w:val="0"/>
            <w:rPr>
              <w:rFonts w:hint="eastAsia"/>
              <w:lang w:val="en-US" w:eastAsia="zh-CN"/>
            </w:rPr>
          </w:pPr>
        </w:p>
      </w:sdtContent>
    </w:sdt>
    <w:p>
      <w:pPr>
        <w:pStyle w:val="2"/>
        <w:bidi w:val="0"/>
        <w:ind w:left="432" w:leftChars="0" w:hanging="432" w:firstLineChars="0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bidi w:val="0"/>
        <w:ind w:left="432" w:leftChars="0" w:hanging="432" w:firstLineChars="0"/>
        <w:rPr>
          <w:rFonts w:hint="default"/>
          <w:lang w:val="en-US" w:eastAsia="zh-CN"/>
        </w:rPr>
      </w:pPr>
      <w:bookmarkStart w:id="0" w:name="_Toc21495"/>
      <w:bookmarkStart w:id="1" w:name="_Toc23788"/>
      <w:r>
        <w:rPr>
          <w:rFonts w:hint="eastAsia"/>
          <w:lang w:val="en-US" w:eastAsia="zh-CN"/>
        </w:rPr>
        <w:t>建设单位操作说明</w:t>
      </w:r>
      <w:bookmarkEnd w:id="0"/>
      <w:bookmarkEnd w:id="1"/>
    </w:p>
    <w:p>
      <w:pPr>
        <w:pStyle w:val="4"/>
        <w:bidi w:val="0"/>
        <w:ind w:left="575" w:leftChars="0" w:hanging="575" w:firstLineChars="0"/>
        <w:rPr>
          <w:rFonts w:hint="default"/>
          <w:lang w:val="en-US" w:eastAsia="zh-CN"/>
        </w:rPr>
      </w:pPr>
      <w:bookmarkStart w:id="2" w:name="_Toc15095"/>
      <w:bookmarkStart w:id="3" w:name="_Toc19524"/>
      <w:r>
        <w:rPr>
          <w:rFonts w:hint="eastAsia"/>
          <w:lang w:val="en-US" w:eastAsia="zh-CN"/>
        </w:rPr>
        <w:t>DWG图纸在线查看</w:t>
      </w:r>
      <w:bookmarkEnd w:id="2"/>
      <w:bookmarkEnd w:id="3"/>
    </w:p>
    <w:p>
      <w:pPr>
        <w:pStyle w:val="5"/>
        <w:tabs>
          <w:tab w:val="left" w:pos="576"/>
        </w:tabs>
        <w:bidi w:val="0"/>
        <w:ind w:left="575" w:leftChars="0" w:hanging="575" w:firstLineChars="0"/>
        <w:rPr>
          <w:rFonts w:hint="default"/>
          <w:lang w:val="en-US" w:eastAsia="zh-CN"/>
        </w:rPr>
      </w:pPr>
      <w:bookmarkStart w:id="4" w:name="_Toc24080"/>
      <w:r>
        <w:rPr>
          <w:rFonts w:hint="eastAsia"/>
          <w:lang w:val="en-US" w:eastAsia="zh-CN"/>
        </w:rPr>
        <w:t>在附件中上传DWG文件</w:t>
      </w:r>
      <w:bookmarkEnd w:id="4"/>
    </w:p>
    <w:p>
      <w:p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在“广东省施工图设计文件审查管理系统”上传工程资料的步骤，在附件位置点击“+”选择文件。</w:t>
      </w:r>
    </w:p>
    <w:p>
      <w:r>
        <w:drawing>
          <wp:inline distT="0" distB="0" distL="114300" distR="114300">
            <wp:extent cx="5269865" cy="4036060"/>
            <wp:effectExtent l="9525" t="9525" r="16510" b="12065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0360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选择文件时可以批量选择多个文件【打开】，同步上传。</w:t>
      </w:r>
    </w:p>
    <w:p>
      <w:r>
        <w:drawing>
          <wp:inline distT="0" distB="0" distL="114300" distR="114300">
            <wp:extent cx="5266690" cy="3476625"/>
            <wp:effectExtent l="0" t="0" r="10160" b="9525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4352925" cy="2324100"/>
            <wp:effectExtent l="0" t="0" r="9525" b="0"/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23241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5"/>
        <w:tabs>
          <w:tab w:val="left" w:pos="576"/>
        </w:tabs>
        <w:bidi w:val="0"/>
        <w:ind w:left="575" w:leftChars="0" w:hanging="575" w:firstLineChars="0"/>
        <w:rPr>
          <w:rFonts w:hint="default"/>
          <w:lang w:val="en-US" w:eastAsia="zh-CN"/>
        </w:rPr>
      </w:pPr>
      <w:bookmarkStart w:id="5" w:name="_Toc4807"/>
      <w:r>
        <w:rPr>
          <w:rFonts w:hint="eastAsia"/>
          <w:lang w:val="en-US" w:eastAsia="zh-CN"/>
        </w:rPr>
        <w:t>查看DWG文件</w:t>
      </w:r>
      <w:bookmarkEnd w:id="5"/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上传DWG文件，点击文件名可直接在线打开查看。</w:t>
      </w:r>
    </w:p>
    <w:p>
      <w:pPr>
        <w:jc w:val="center"/>
      </w:pPr>
      <w:r>
        <w:drawing>
          <wp:inline distT="0" distB="0" distL="114300" distR="114300">
            <wp:extent cx="4267200" cy="2486025"/>
            <wp:effectExtent l="9525" t="9525" r="9525" b="19050"/>
            <wp:docPr id="2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24860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260975" cy="2903220"/>
            <wp:effectExtent l="0" t="0" r="15875" b="11430"/>
            <wp:docPr id="2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90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tabs>
          <w:tab w:val="left" w:pos="576"/>
        </w:tabs>
        <w:bidi w:val="0"/>
        <w:ind w:left="575" w:leftChars="0" w:hanging="575" w:firstLineChars="0"/>
        <w:rPr>
          <w:rFonts w:hint="default"/>
          <w:lang w:val="en-US" w:eastAsia="zh-CN"/>
        </w:rPr>
      </w:pPr>
      <w:bookmarkStart w:id="6" w:name="_Toc22921"/>
      <w:r>
        <w:rPr>
          <w:rFonts w:hint="eastAsia"/>
          <w:lang w:val="en-US" w:eastAsia="zh-CN"/>
        </w:rPr>
        <w:t>辅助工具</w:t>
      </w:r>
      <w:bookmarkEnd w:id="6"/>
    </w:p>
    <w:p>
      <w:pPr>
        <w:numPr>
          <w:ilvl w:val="0"/>
          <w:numId w:val="2"/>
        </w:numPr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拖放，默认开启，可拖动DWG图纸文件。</w:t>
      </w:r>
    </w:p>
    <w:p>
      <w:pPr>
        <w:numPr>
          <w:ilvl w:val="0"/>
          <w:numId w:val="0"/>
        </w:numPr>
        <w:bidi w:val="0"/>
        <w:jc w:val="center"/>
      </w:pPr>
      <w:r>
        <w:drawing>
          <wp:inline distT="0" distB="0" distL="114300" distR="114300">
            <wp:extent cx="2095500" cy="800100"/>
            <wp:effectExtent l="0" t="0" r="0" b="0"/>
            <wp:docPr id="2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（2）居中显示，点击后将文件中心点位置还原到屏幕中间位置显示。</w:t>
      </w: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3095625" cy="874395"/>
            <wp:effectExtent l="0" t="0" r="0" b="0"/>
            <wp:docPr id="2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rcRect t="15000"/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87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（3）测距，选取DWG图纸中的两个元素，测量其距离。</w:t>
      </w:r>
    </w:p>
    <w:p>
      <w:pPr>
        <w:jc w:val="center"/>
      </w:pPr>
      <w:r>
        <w:drawing>
          <wp:inline distT="0" distB="0" distL="114300" distR="114300">
            <wp:extent cx="5264150" cy="1945005"/>
            <wp:effectExtent l="0" t="0" r="12700" b="17145"/>
            <wp:docPr id="2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94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（4）测面积，选取DWG图纸中的多个位置，测量其周长和面积。</w:t>
      </w:r>
    </w:p>
    <w:p>
      <w:pPr>
        <w:jc w:val="center"/>
      </w:pPr>
      <w:r>
        <w:drawing>
          <wp:inline distT="0" distB="0" distL="114300" distR="114300">
            <wp:extent cx="5267960" cy="1448435"/>
            <wp:effectExtent l="0" t="0" r="8890" b="18415"/>
            <wp:docPr id="3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448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</w:pPr>
      <w:r>
        <w:rPr>
          <w:rFonts w:hint="eastAsia"/>
          <w:sz w:val="28"/>
          <w:szCs w:val="28"/>
          <w:lang w:val="en-US" w:eastAsia="zh-CN"/>
        </w:rPr>
        <w:t>（5）测角度，选取DWG图纸中的两条线段，测量其角度。</w:t>
      </w:r>
    </w:p>
    <w:p>
      <w:p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2901950"/>
            <wp:effectExtent l="0" t="0" r="7620" b="12700"/>
            <wp:docPr id="3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90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ind w:left="575" w:leftChars="0" w:hanging="575" w:firstLineChars="0"/>
        <w:rPr>
          <w:rFonts w:hint="default"/>
          <w:lang w:val="en-US" w:eastAsia="zh-CN"/>
        </w:rPr>
      </w:pPr>
      <w:bookmarkStart w:id="7" w:name="_Toc13744"/>
      <w:bookmarkStart w:id="8" w:name="_Toc22975"/>
      <w:r>
        <w:rPr>
          <w:rFonts w:hint="eastAsia"/>
          <w:lang w:val="en-US" w:eastAsia="zh-CN"/>
        </w:rPr>
        <w:t>竣工图管理</w:t>
      </w:r>
      <w:bookmarkEnd w:id="7"/>
      <w:bookmarkEnd w:id="8"/>
    </w:p>
    <w:p>
      <w:pPr>
        <w:pStyle w:val="5"/>
        <w:tabs>
          <w:tab w:val="left" w:pos="576"/>
        </w:tabs>
        <w:bidi w:val="0"/>
        <w:ind w:left="575" w:leftChars="0" w:hanging="575" w:firstLineChars="0"/>
        <w:rPr>
          <w:rFonts w:hint="default"/>
          <w:lang w:val="en-US" w:eastAsia="zh-CN"/>
        </w:rPr>
      </w:pPr>
      <w:bookmarkStart w:id="9" w:name="_Toc4638"/>
      <w:r>
        <w:rPr>
          <w:rFonts w:hint="eastAsia"/>
          <w:lang w:val="en-US" w:eastAsia="zh-CN"/>
        </w:rPr>
        <w:t>发起竣工图编制</w:t>
      </w:r>
      <w:bookmarkEnd w:id="9"/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建设单位登录“广东省施工图设计文件审查管理系统”后点击右上角正方形图标进入功能菜单管理，选择竣工图管理菜单点击进入。</w:t>
      </w:r>
    </w:p>
    <w:p>
      <w:pPr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71135" cy="2733675"/>
            <wp:effectExtent l="9525" t="9525" r="15240" b="190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336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找到要进行竣工图编制的工程点击【进入编制】。</w:t>
      </w:r>
    </w:p>
    <w:p>
      <w:r>
        <w:drawing>
          <wp:inline distT="0" distB="0" distL="114300" distR="114300">
            <wp:extent cx="5272405" cy="1750060"/>
            <wp:effectExtent l="9525" t="9525" r="13970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7500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首次进入可查看办理流程，点击【开始办理】进入编制。如非首次进入，在上一步点击【进入编制】后会直接进入编制。</w:t>
      </w:r>
    </w:p>
    <w:p>
      <w:pPr>
        <w:jc w:val="center"/>
      </w:pPr>
      <w:r>
        <w:drawing>
          <wp:inline distT="0" distB="0" distL="114300" distR="114300">
            <wp:extent cx="5280025" cy="2705100"/>
            <wp:effectExtent l="9525" t="9525" r="2540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80025" cy="27051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 w:eastAsia="zh-CN"/>
        </w:rPr>
      </w:pPr>
    </w:p>
    <w:p>
      <w:pPr>
        <w:pStyle w:val="5"/>
        <w:tabs>
          <w:tab w:val="left" w:pos="576"/>
        </w:tabs>
        <w:bidi w:val="0"/>
        <w:ind w:left="575" w:leftChars="0" w:hanging="575" w:firstLineChars="0"/>
        <w:rPr>
          <w:rFonts w:hint="default"/>
          <w:lang w:val="en-US" w:eastAsia="zh-CN"/>
        </w:rPr>
      </w:pPr>
      <w:bookmarkStart w:id="10" w:name="_Toc23219"/>
      <w:r>
        <w:rPr>
          <w:rFonts w:hint="eastAsia"/>
          <w:lang w:val="en-US" w:eastAsia="zh-CN"/>
        </w:rPr>
        <w:t>录入施工/监理单位信息</w:t>
      </w:r>
      <w:bookmarkEnd w:id="10"/>
    </w:p>
    <w:p>
      <w:p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施工/监理单位信息需从三库获取单位信息，获取后再录入经办人信息，点击当前单位卡片上方【保存】按钮保存当前单位信息。点击【增加】可添加新的单位填写信息块。</w:t>
      </w:r>
    </w:p>
    <w:p>
      <w:pPr>
        <w:rPr>
          <w:rFonts w:hint="default" w:eastAsiaTheme="minorEastAsia"/>
          <w:b/>
          <w:bCs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注意：施工/监理单位需要提前在广东省三库一平台登记单位信息。</w:t>
      </w:r>
    </w:p>
    <w:p>
      <w:r>
        <w:drawing>
          <wp:inline distT="0" distB="0" distL="114300" distR="114300">
            <wp:extent cx="5224780" cy="4924425"/>
            <wp:effectExtent l="9525" t="9525" r="23495" b="1905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24780" cy="49244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pStyle w:val="5"/>
        <w:tabs>
          <w:tab w:val="left" w:pos="576"/>
        </w:tabs>
        <w:bidi w:val="0"/>
        <w:ind w:left="575" w:leftChars="0" w:hanging="575" w:firstLineChars="0"/>
        <w:rPr>
          <w:rFonts w:hint="default"/>
          <w:lang w:val="en-US" w:eastAsia="zh-CN"/>
        </w:rPr>
      </w:pPr>
      <w:bookmarkStart w:id="11" w:name="_Toc5582"/>
      <w:r>
        <w:rPr>
          <w:rFonts w:hint="eastAsia"/>
          <w:lang w:val="en-US" w:eastAsia="zh-CN"/>
        </w:rPr>
        <w:t>建设单位确认图纸</w:t>
      </w:r>
      <w:bookmarkEnd w:id="11"/>
    </w:p>
    <w:p>
      <w:pPr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填写完毕后选择要进行编制的</w:t>
      </w:r>
      <w:r>
        <w:rPr>
          <w:rFonts w:hint="eastAsia"/>
          <w:b/>
          <w:bCs/>
          <w:sz w:val="28"/>
          <w:szCs w:val="28"/>
          <w:lang w:val="en-US" w:eastAsia="zh-CN"/>
        </w:rPr>
        <w:t>单体</w:t>
      </w:r>
      <w:r>
        <w:rPr>
          <w:rFonts w:hint="eastAsia"/>
          <w:sz w:val="28"/>
          <w:szCs w:val="28"/>
          <w:lang w:val="en-US" w:eastAsia="zh-CN"/>
        </w:rPr>
        <w:t>点击【确认图纸】，进行图纸确认。</w:t>
      </w:r>
    </w:p>
    <w:p>
      <w:r>
        <w:drawing>
          <wp:inline distT="0" distB="0" distL="114300" distR="114300">
            <wp:extent cx="5267325" cy="1515745"/>
            <wp:effectExtent l="9525" t="9525" r="19050" b="177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157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检查当前单体图纸是否完整无缺漏无需再进行变更，如确认无误后则点击【完成确认】。</w:t>
      </w:r>
    </w:p>
    <w:p>
      <w:r>
        <w:drawing>
          <wp:inline distT="0" distB="0" distL="114300" distR="114300">
            <wp:extent cx="5268595" cy="3889375"/>
            <wp:effectExtent l="9525" t="9525" r="17780" b="2540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8893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注意：如图纸仍有问题需要变更则点击【返回】，不要继续往下，回到“申办确认管理”台账，找回当前工程，进入变更管理变更图纸。</w:t>
      </w:r>
    </w:p>
    <w:p>
      <w:r>
        <w:drawing>
          <wp:inline distT="0" distB="0" distL="114300" distR="114300">
            <wp:extent cx="5274310" cy="2753995"/>
            <wp:effectExtent l="9525" t="9525" r="12065" b="1778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39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6055" cy="969645"/>
            <wp:effectExtent l="9525" t="9525" r="20320" b="11430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9696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建设单位确认完毕后，当前的单体状态为“已发起编制”，同时会提交至施工和监理单位进行图纸确认。</w:t>
      </w:r>
    </w:p>
    <w:p>
      <w:r>
        <w:drawing>
          <wp:inline distT="0" distB="0" distL="114300" distR="114300">
            <wp:extent cx="5266055" cy="257175"/>
            <wp:effectExtent l="9525" t="9525" r="20320" b="190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71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具体操作详见“2.施工/监理单位操作说明”</w:t>
      </w:r>
    </w:p>
    <w:p>
      <w:pPr>
        <w:pStyle w:val="5"/>
        <w:tabs>
          <w:tab w:val="left" w:pos="576"/>
        </w:tabs>
        <w:bidi w:val="0"/>
        <w:ind w:left="575" w:leftChars="0" w:hanging="575" w:firstLineChars="0"/>
        <w:rPr>
          <w:rFonts w:hint="default"/>
          <w:lang w:val="en-US" w:eastAsia="zh-CN"/>
        </w:rPr>
      </w:pPr>
      <w:bookmarkStart w:id="12" w:name="_Toc10267"/>
      <w:r>
        <w:rPr>
          <w:rFonts w:hint="eastAsia"/>
          <w:lang w:val="en-US" w:eastAsia="zh-CN"/>
        </w:rPr>
        <w:t>加盖竣工图章和图纸码</w:t>
      </w:r>
      <w:bookmarkEnd w:id="12"/>
    </w:p>
    <w:p>
      <w:p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当所有施工和监理单位确认图纸完毕后，当前的单体状态会变为“完成确认”，建设单位可以点击【加盖图纸码】进入图纸签章页面，进行图纸码与竣工图专用章的加盖。</w:t>
      </w:r>
    </w:p>
    <w:p>
      <w:r>
        <w:drawing>
          <wp:inline distT="0" distB="0" distL="114300" distR="114300">
            <wp:extent cx="5272405" cy="364490"/>
            <wp:effectExtent l="9525" t="9525" r="13970" b="260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644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选择对应的设计单位，对应的专业不同的规格，点击图纸名称打开图纸，进行加盖竣工图专用章和图纸码。</w:t>
      </w:r>
    </w:p>
    <w:p>
      <w:r>
        <w:drawing>
          <wp:inline distT="0" distB="0" distL="114300" distR="114300">
            <wp:extent cx="5266690" cy="2551430"/>
            <wp:effectExtent l="9525" t="9525" r="19685" b="10795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514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提示：加盖印章时，勾选多张相同规格的图纸可进行批量加盖，加盖的位置一致。</w:t>
      </w:r>
    </w:p>
    <w:p>
      <w:pPr>
        <w:jc w:val="center"/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4762500" cy="5162550"/>
            <wp:effectExtent l="9525" t="9525" r="9525" b="9525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51625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所有图纸加盖专用章及图纸码后，点击【完成单体竣工图编制】即可标记该单体完成竣工图编制。</w:t>
      </w:r>
    </w:p>
    <w:p>
      <w:pPr>
        <w:jc w:val="center"/>
      </w:pPr>
      <w:r>
        <w:drawing>
          <wp:inline distT="0" distB="0" distL="114300" distR="114300">
            <wp:extent cx="2613660" cy="4074160"/>
            <wp:effectExtent l="9525" t="9525" r="13335" b="15875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27"/>
                    <a:srcRect l="2453" t="1660" r="4044" b="2407"/>
                    <a:stretch>
                      <a:fillRect/>
                    </a:stretch>
                  </pic:blipFill>
                  <pic:spPr>
                    <a:xfrm>
                      <a:off x="0" y="0"/>
                      <a:ext cx="2613660" cy="40741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当所有单体都完成后，工程会自动标记为完成竣工图编制，转移到“已出竣工图”列表。</w:t>
      </w:r>
    </w:p>
    <w:p>
      <w:pPr>
        <w:bidi w:val="0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9865" cy="1334770"/>
            <wp:effectExtent l="9525" t="9525" r="16510" b="27305"/>
            <wp:docPr id="2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3"/>
                    <pic:cNvPicPr>
                      <a:picLocks noChangeAspect="1"/>
                    </pic:cNvPicPr>
                  </pic:nvPicPr>
                  <pic:blipFill>
                    <a:blip r:embed="rId28">
                      <a:lum contrast="-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3347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5"/>
        <w:tabs>
          <w:tab w:val="left" w:pos="576"/>
        </w:tabs>
        <w:bidi w:val="0"/>
        <w:ind w:left="575" w:leftChars="0" w:hanging="575" w:firstLineChars="0"/>
        <w:rPr>
          <w:rFonts w:hint="default"/>
          <w:lang w:val="en-US" w:eastAsia="zh-CN"/>
        </w:rPr>
      </w:pPr>
      <w:bookmarkStart w:id="13" w:name="_Toc24519"/>
      <w:r>
        <w:rPr>
          <w:rFonts w:hint="eastAsia"/>
          <w:lang w:val="en-US" w:eastAsia="zh-CN"/>
        </w:rPr>
        <w:t>撤销编制</w:t>
      </w:r>
      <w:bookmarkEnd w:id="13"/>
    </w:p>
    <w:p>
      <w:p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建设单位在单体确认图纸过程中，如果发现图纸仍需要变更可在对应单体操作中点击【撤销编制】，将该单体重置为“未发起编制”状态，然后通过变更管理进行变更。变更完成后可重新发起编制。</w:t>
      </w:r>
    </w:p>
    <w:p>
      <w:pPr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72405" cy="1370330"/>
            <wp:effectExtent l="9525" t="9525" r="13970" b="10795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3703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/>
    <w:p>
      <w:pPr>
        <w:pStyle w:val="2"/>
        <w:bidi w:val="0"/>
        <w:ind w:left="432" w:leftChars="0" w:hanging="432" w:firstLineChars="0"/>
        <w:rPr>
          <w:rFonts w:hint="default"/>
          <w:lang w:val="en-US" w:eastAsia="zh-CN"/>
        </w:rPr>
      </w:pPr>
      <w:bookmarkStart w:id="14" w:name="_Toc23777"/>
      <w:bookmarkStart w:id="15" w:name="_Toc190"/>
      <w:r>
        <w:rPr>
          <w:rFonts w:hint="eastAsia"/>
          <w:lang w:val="en-US" w:eastAsia="zh-CN"/>
        </w:rPr>
        <w:t>施工/监理单位竣工图管理操作说明</w:t>
      </w:r>
      <w:bookmarkEnd w:id="14"/>
      <w:bookmarkEnd w:id="15"/>
    </w:p>
    <w:p>
      <w:pPr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施工单位和监理单位操作一致，具体操作说明如下。</w:t>
      </w:r>
    </w:p>
    <w:p>
      <w:pPr>
        <w:pStyle w:val="4"/>
        <w:bidi w:val="0"/>
        <w:ind w:left="575" w:leftChars="0" w:hanging="575" w:firstLineChars="0"/>
        <w:rPr>
          <w:rFonts w:hint="default"/>
          <w:lang w:val="en-US" w:eastAsia="zh-CN"/>
        </w:rPr>
      </w:pPr>
      <w:bookmarkStart w:id="16" w:name="_Toc19156"/>
      <w:bookmarkStart w:id="17" w:name="_Toc28063"/>
      <w:r>
        <w:rPr>
          <w:rFonts w:hint="eastAsia"/>
          <w:lang w:val="en-US" w:eastAsia="zh-CN"/>
        </w:rPr>
        <w:t>登录系统</w:t>
      </w:r>
      <w:bookmarkEnd w:id="16"/>
      <w:bookmarkEnd w:id="17"/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施工和监理单位经办人前置工作指引与“勘察设计单位”一致，需注册在“广东省施工图设计文件审查管理系统”注册省统一账号进行登录。</w:t>
      </w:r>
    </w:p>
    <w:p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71135" cy="4766310"/>
            <wp:effectExtent l="9525" t="9525" r="15240" b="24765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7663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注册账号后选择东莞市，选择监理/施工单位入口登录。</w:t>
      </w:r>
    </w:p>
    <w:p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7960" cy="3124835"/>
            <wp:effectExtent l="0" t="0" r="8890" b="18415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12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ind w:left="575" w:leftChars="0" w:hanging="575" w:firstLineChars="0"/>
        <w:rPr>
          <w:rFonts w:hint="default"/>
          <w:lang w:val="en-US" w:eastAsia="zh-CN"/>
        </w:rPr>
      </w:pPr>
      <w:bookmarkStart w:id="18" w:name="_Toc22110"/>
      <w:bookmarkStart w:id="19" w:name="_Toc5843"/>
      <w:r>
        <w:rPr>
          <w:rFonts w:hint="eastAsia"/>
          <w:lang w:val="en-US" w:eastAsia="zh-CN"/>
        </w:rPr>
        <w:t>确认图纸</w:t>
      </w:r>
      <w:bookmarkEnd w:id="18"/>
      <w:bookmarkEnd w:id="19"/>
    </w:p>
    <w:p>
      <w:p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登录“广东省施工图设计文件审查管理系统”后进入竣工图管理页面找到要进行确认的单体点击【进入确认图纸】，进行确认图纸流程。</w:t>
      </w:r>
    </w:p>
    <w:p>
      <w:r>
        <w:drawing>
          <wp:inline distT="0" distB="0" distL="114300" distR="114300">
            <wp:extent cx="5273040" cy="2942590"/>
            <wp:effectExtent l="9525" t="9525" r="13335" b="1968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425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确认的操作与建设单位一致，检查当前单体图纸是否完整无缺漏无需再进行变更，如确认无误后则点击【完成确认】即可。</w:t>
      </w:r>
    </w:p>
    <w:p>
      <w:r>
        <w:drawing>
          <wp:inline distT="0" distB="0" distL="114300" distR="114300">
            <wp:extent cx="5268595" cy="3889375"/>
            <wp:effectExtent l="9525" t="9525" r="17780" b="2540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8893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/>
    <w:sectPr>
      <w:footerReference r:id="rId3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宋体 (正文)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</w:pPr>
  </w:p>
  <w:p>
    <w:pPr>
      <w:pStyle w:val="1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DrADh6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44A7FD9"/>
    <w:multiLevelType w:val="singleLevel"/>
    <w:tmpl w:val="E44A7FD9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7D334ACF"/>
    <w:multiLevelType w:val="multilevel"/>
    <w:tmpl w:val="7D334ACF"/>
    <w:lvl w:ilvl="0" w:tentative="0">
      <w:start w:val="1"/>
      <w:numFmt w:val="decimal"/>
      <w:pStyle w:val="2"/>
      <w:lvlText w:val="%1."/>
      <w:lvlJc w:val="left"/>
      <w:pPr>
        <w:ind w:left="432" w:hanging="432"/>
      </w:pPr>
      <w:rPr>
        <w:rFonts w:hint="default"/>
      </w:rPr>
    </w:lvl>
    <w:lvl w:ilvl="1" w:tentative="0">
      <w:start w:val="1"/>
      <w:numFmt w:val="decimal"/>
      <w:pStyle w:val="4"/>
      <w:lvlText w:val="%1.%2."/>
      <w:lvlJc w:val="left"/>
      <w:pPr>
        <w:ind w:left="575" w:hanging="575"/>
      </w:pPr>
      <w:rPr>
        <w:rFonts w:hint="default"/>
      </w:rPr>
    </w:lvl>
    <w:lvl w:ilvl="2" w:tentative="0">
      <w:start w:val="1"/>
      <w:numFmt w:val="decimal"/>
      <w:pStyle w:val="5"/>
      <w:lvlText w:val="%1.%2.%3.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pStyle w:val="6"/>
      <w:lvlText w:val="%1.%2.%3.%4."/>
      <w:lvlJc w:val="left"/>
      <w:pPr>
        <w:ind w:left="864" w:hanging="864"/>
      </w:pPr>
      <w:rPr>
        <w:rFonts w:hint="default"/>
      </w:rPr>
    </w:lvl>
    <w:lvl w:ilvl="4" w:tentative="0">
      <w:start w:val="1"/>
      <w:numFmt w:val="decimal"/>
      <w:pStyle w:val="7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pStyle w:val="8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pStyle w:val="9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pStyle w:val="10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pStyle w:val="11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9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c4OTg3OTM1YTkyODA0NDQxNDdlMjJhOWQzOTRmMGEifQ=="/>
  </w:docVars>
  <w:rsids>
    <w:rsidRoot w:val="00000000"/>
    <w:rsid w:val="05DF037A"/>
    <w:rsid w:val="06B52A00"/>
    <w:rsid w:val="08365AD8"/>
    <w:rsid w:val="096E361C"/>
    <w:rsid w:val="0BD936D7"/>
    <w:rsid w:val="0BFD4800"/>
    <w:rsid w:val="100B59A2"/>
    <w:rsid w:val="10333E23"/>
    <w:rsid w:val="17076D19"/>
    <w:rsid w:val="173775CC"/>
    <w:rsid w:val="210E7527"/>
    <w:rsid w:val="2E7A26A0"/>
    <w:rsid w:val="2F0A26C9"/>
    <w:rsid w:val="39A3297E"/>
    <w:rsid w:val="3C336DD6"/>
    <w:rsid w:val="431C38CE"/>
    <w:rsid w:val="46386C71"/>
    <w:rsid w:val="4C122817"/>
    <w:rsid w:val="5672469D"/>
    <w:rsid w:val="5E934143"/>
    <w:rsid w:val="61F91ED5"/>
    <w:rsid w:val="63890A59"/>
    <w:rsid w:val="64351CBA"/>
    <w:rsid w:val="72A252EE"/>
    <w:rsid w:val="765921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3"/>
    <w:next w:val="3"/>
    <w:autoRedefine/>
    <w:qFormat/>
    <w:uiPriority w:val="0"/>
    <w:pPr>
      <w:keepNext w:val="0"/>
      <w:pageBreakBefore/>
      <w:numPr>
        <w:ilvl w:val="0"/>
        <w:numId w:val="1"/>
      </w:numPr>
      <w:tabs>
        <w:tab w:val="left" w:pos="432"/>
      </w:tabs>
      <w:spacing w:after="360"/>
      <w:ind w:left="431" w:hanging="431"/>
      <w:jc w:val="left"/>
      <w:outlineLvl w:val="0"/>
    </w:pPr>
    <w:rPr>
      <w:rFonts w:ascii="Arial" w:hAnsi="Arial" w:eastAsia="黑体" w:cs="Times New Roman"/>
      <w:sz w:val="44"/>
      <w:szCs w:val="21"/>
    </w:rPr>
  </w:style>
  <w:style w:type="paragraph" w:styleId="4">
    <w:name w:val="heading 2"/>
    <w:basedOn w:val="1"/>
    <w:next w:val="1"/>
    <w:autoRedefine/>
    <w:unhideWhenUsed/>
    <w:qFormat/>
    <w:uiPriority w:val="0"/>
    <w:pPr>
      <w:keepNext/>
      <w:keepLines/>
      <w:numPr>
        <w:ilvl w:val="1"/>
        <w:numId w:val="1"/>
      </w:numPr>
      <w:tabs>
        <w:tab w:val="left" w:pos="576"/>
      </w:tabs>
      <w:spacing w:before="260" w:beforeLines="0" w:beforeAutospacing="0" w:after="260" w:afterLines="0" w:afterAutospacing="0" w:line="413" w:lineRule="auto"/>
      <w:ind w:left="575" w:hanging="575"/>
      <w:outlineLvl w:val="1"/>
    </w:pPr>
    <w:rPr>
      <w:rFonts w:ascii="Arial" w:hAnsi="Arial" w:eastAsia="黑体"/>
      <w:b/>
      <w:sz w:val="32"/>
    </w:rPr>
  </w:style>
  <w:style w:type="paragraph" w:styleId="5">
    <w:name w:val="heading 3"/>
    <w:basedOn w:val="1"/>
    <w:next w:val="1"/>
    <w:autoRedefine/>
    <w:semiHidden/>
    <w:unhideWhenUsed/>
    <w:qFormat/>
    <w:uiPriority w:val="0"/>
    <w:pPr>
      <w:keepNext/>
      <w:keepLines/>
      <w:numPr>
        <w:ilvl w:val="2"/>
        <w:numId w:val="1"/>
      </w:numPr>
      <w:spacing w:before="260" w:beforeLines="0" w:beforeAutospacing="0" w:after="260" w:afterLines="0" w:afterAutospacing="0" w:line="413" w:lineRule="auto"/>
      <w:ind w:left="720" w:hanging="720"/>
      <w:outlineLvl w:val="2"/>
    </w:pPr>
    <w:rPr>
      <w:rFonts w:eastAsia="宋体 (正文)" w:asciiTheme="minorAscii" w:hAnsiTheme="minorAscii"/>
      <w:b/>
      <w:sz w:val="28"/>
    </w:rPr>
  </w:style>
  <w:style w:type="paragraph" w:styleId="6">
    <w:name w:val="heading 4"/>
    <w:basedOn w:val="1"/>
    <w:next w:val="1"/>
    <w:semiHidden/>
    <w:unhideWhenUsed/>
    <w:qFormat/>
    <w:uiPriority w:val="0"/>
    <w:pPr>
      <w:keepNext/>
      <w:keepLines/>
      <w:numPr>
        <w:ilvl w:val="3"/>
        <w:numId w:val="1"/>
      </w:numPr>
      <w:spacing w:before="280" w:beforeLines="0" w:beforeAutospacing="0" w:after="290" w:afterLines="0" w:afterAutospacing="0" w:line="372" w:lineRule="auto"/>
      <w:ind w:left="864" w:hanging="864"/>
      <w:outlineLvl w:val="3"/>
    </w:pPr>
    <w:rPr>
      <w:rFonts w:ascii="Arial" w:hAnsi="Arial" w:eastAsia="黑体"/>
      <w:b/>
      <w:sz w:val="28"/>
    </w:rPr>
  </w:style>
  <w:style w:type="paragraph" w:styleId="7">
    <w:name w:val="heading 5"/>
    <w:basedOn w:val="1"/>
    <w:next w:val="1"/>
    <w:autoRedefine/>
    <w:semiHidden/>
    <w:unhideWhenUsed/>
    <w:qFormat/>
    <w:uiPriority w:val="0"/>
    <w:pPr>
      <w:keepNext/>
      <w:keepLines/>
      <w:numPr>
        <w:ilvl w:val="4"/>
        <w:numId w:val="1"/>
      </w:numPr>
      <w:spacing w:before="280" w:beforeLines="0" w:beforeAutospacing="0" w:after="290" w:afterLines="0" w:afterAutospacing="0" w:line="372" w:lineRule="auto"/>
      <w:ind w:left="1008" w:hanging="1008"/>
      <w:outlineLvl w:val="4"/>
    </w:pPr>
    <w:rPr>
      <w:b/>
      <w:sz w:val="28"/>
    </w:rPr>
  </w:style>
  <w:style w:type="paragraph" w:styleId="8">
    <w:name w:val="heading 6"/>
    <w:basedOn w:val="1"/>
    <w:next w:val="1"/>
    <w:semiHidden/>
    <w:unhideWhenUsed/>
    <w:qFormat/>
    <w:uiPriority w:val="0"/>
    <w:pPr>
      <w:keepNext/>
      <w:keepLines/>
      <w:numPr>
        <w:ilvl w:val="5"/>
        <w:numId w:val="1"/>
      </w:numPr>
      <w:spacing w:before="240" w:beforeLines="0" w:beforeAutospacing="0" w:after="64" w:afterLines="0" w:afterAutospacing="0" w:line="317" w:lineRule="auto"/>
      <w:ind w:left="1151" w:hanging="1151"/>
      <w:outlineLvl w:val="5"/>
    </w:pPr>
    <w:rPr>
      <w:rFonts w:ascii="Arial" w:hAnsi="Arial" w:eastAsia="黑体"/>
      <w:b/>
      <w:sz w:val="24"/>
    </w:rPr>
  </w:style>
  <w:style w:type="paragraph" w:styleId="9">
    <w:name w:val="heading 7"/>
    <w:basedOn w:val="1"/>
    <w:next w:val="1"/>
    <w:semiHidden/>
    <w:unhideWhenUsed/>
    <w:qFormat/>
    <w:uiPriority w:val="0"/>
    <w:pPr>
      <w:keepNext/>
      <w:keepLines/>
      <w:numPr>
        <w:ilvl w:val="6"/>
        <w:numId w:val="1"/>
      </w:numPr>
      <w:spacing w:before="240" w:beforeLines="0" w:beforeAutospacing="0" w:after="64" w:afterLines="0" w:afterAutospacing="0" w:line="317" w:lineRule="auto"/>
      <w:ind w:left="1296" w:hanging="1296"/>
      <w:outlineLvl w:val="6"/>
    </w:pPr>
    <w:rPr>
      <w:b/>
      <w:sz w:val="24"/>
    </w:rPr>
  </w:style>
  <w:style w:type="paragraph" w:styleId="10">
    <w:name w:val="heading 8"/>
    <w:basedOn w:val="1"/>
    <w:next w:val="1"/>
    <w:autoRedefine/>
    <w:semiHidden/>
    <w:unhideWhenUsed/>
    <w:qFormat/>
    <w:uiPriority w:val="0"/>
    <w:pPr>
      <w:keepNext/>
      <w:keepLines/>
      <w:numPr>
        <w:ilvl w:val="7"/>
        <w:numId w:val="1"/>
      </w:numPr>
      <w:spacing w:before="240" w:beforeLines="0" w:beforeAutospacing="0" w:after="64" w:afterLines="0" w:afterAutospacing="0" w:line="317" w:lineRule="auto"/>
      <w:ind w:left="1440" w:hanging="1440"/>
      <w:outlineLvl w:val="7"/>
    </w:pPr>
    <w:rPr>
      <w:rFonts w:ascii="Arial" w:hAnsi="Arial" w:eastAsia="黑体"/>
      <w:sz w:val="24"/>
    </w:rPr>
  </w:style>
  <w:style w:type="paragraph" w:styleId="11">
    <w:name w:val="heading 9"/>
    <w:basedOn w:val="1"/>
    <w:next w:val="1"/>
    <w:autoRedefine/>
    <w:semiHidden/>
    <w:unhideWhenUsed/>
    <w:qFormat/>
    <w:uiPriority w:val="0"/>
    <w:pPr>
      <w:keepNext/>
      <w:keepLines/>
      <w:numPr>
        <w:ilvl w:val="8"/>
        <w:numId w:val="1"/>
      </w:numPr>
      <w:spacing w:before="240" w:beforeLines="0" w:beforeAutospacing="0" w:after="64" w:afterLines="0" w:afterAutospacing="0" w:line="317" w:lineRule="auto"/>
      <w:ind w:left="1583" w:hanging="1583"/>
      <w:outlineLvl w:val="8"/>
    </w:pPr>
    <w:rPr>
      <w:rFonts w:ascii="Arial" w:hAnsi="Arial" w:eastAsia="黑体"/>
      <w:sz w:val="21"/>
    </w:rPr>
  </w:style>
  <w:style w:type="character" w:default="1" w:styleId="18">
    <w:name w:val="Default Paragraph Font"/>
    <w:autoRedefine/>
    <w:semiHidden/>
    <w:qFormat/>
    <w:uiPriority w:val="0"/>
  </w:style>
  <w:style w:type="table" w:default="1" w:styleId="17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itle"/>
    <w:basedOn w:val="1"/>
    <w:qFormat/>
    <w:uiPriority w:val="0"/>
    <w:pPr>
      <w:spacing w:before="240" w:beforeLines="0" w:beforeAutospacing="0" w:after="60" w:afterLines="0" w:afterAutospacing="0"/>
      <w:jc w:val="center"/>
      <w:outlineLvl w:val="0"/>
    </w:pPr>
    <w:rPr>
      <w:rFonts w:ascii="Arial" w:hAnsi="Arial"/>
      <w:b/>
      <w:sz w:val="32"/>
    </w:rPr>
  </w:style>
  <w:style w:type="paragraph" w:styleId="12">
    <w:name w:val="toc 3"/>
    <w:basedOn w:val="1"/>
    <w:next w:val="1"/>
    <w:autoRedefine/>
    <w:uiPriority w:val="0"/>
    <w:pPr>
      <w:ind w:left="840" w:leftChars="400"/>
    </w:pPr>
  </w:style>
  <w:style w:type="paragraph" w:styleId="13">
    <w:name w:val="footer"/>
    <w:basedOn w:val="1"/>
    <w:autoRedefine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4">
    <w:name w:val="header"/>
    <w:basedOn w:val="1"/>
    <w:autoRedefine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5">
    <w:name w:val="toc 1"/>
    <w:basedOn w:val="1"/>
    <w:next w:val="1"/>
    <w:qFormat/>
    <w:uiPriority w:val="0"/>
  </w:style>
  <w:style w:type="paragraph" w:styleId="16">
    <w:name w:val="toc 2"/>
    <w:basedOn w:val="1"/>
    <w:next w:val="1"/>
    <w:uiPriority w:val="0"/>
    <w:pPr>
      <w:ind w:left="420" w:leftChars="200"/>
    </w:pPr>
  </w:style>
  <w:style w:type="paragraph" w:customStyle="1" w:styleId="19">
    <w:name w:val="WPSOffice手动目录 1"/>
    <w:uiPriority w:val="0"/>
    <w:pPr>
      <w:spacing w:line="360" w:lineRule="auto"/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20">
    <w:name w:val="WPSOffice手动目录 2"/>
    <w:autoRedefine/>
    <w:uiPriority w:val="0"/>
    <w:pPr>
      <w:spacing w:line="312" w:lineRule="auto"/>
      <w:ind w:leftChars="2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5" Type="http://schemas.openxmlformats.org/officeDocument/2006/relationships/fontTable" Target="fontTable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1451</Words>
  <Characters>1535</Characters>
  <Lines>0</Lines>
  <Paragraphs>0</Paragraphs>
  <TotalTime>82</TotalTime>
  <ScaleCrop>false</ScaleCrop>
  <LinksUpToDate>false</LinksUpToDate>
  <CharactersWithSpaces>1591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2024-01-12T09:32:00Z</dcterms:created>
  <dc:creator>bo</dc:creator>
  <cp:lastModifiedBy>zjj</cp:lastModifiedBy>
  <cp:lastPrinted>2024-06-27T00:39:42Z</cp:lastPrinted>
  <dcterms:modified xsi:type="dcterms:W3CDTF">2024-06-27T08:47:31Z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A21EA06C284A43768BF21522451C6C29_13</vt:lpwstr>
  </property>
</Properties>
</file>