
<file path=[Content_Types].xml><?xml version="1.0" encoding="utf-8"?>
<Types xmlns="http://schemas.openxmlformats.org/package/2006/content-types">
  <Default Extension="xml" ContentType="application/xml"/>
  <Default Extension="png" ContentType="image/png"/>
  <Default Extension="emf" ContentType="image/x-emf"/>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14:paraId="1DD046B7">
      <w:pPr>
        <w:pageBreakBefore w:val="0"/>
        <w:kinsoku/>
        <w:wordWrap w:val="0"/>
        <w:topLinePunct w:val="0"/>
        <w:bidi w:val="0"/>
        <w:snapToGrid/>
        <w:textAlignment w:val="auto"/>
        <w:rPr>
          <w:rFonts w:ascii="方正黑体_GBK" w:hAnsi="Times New Roman" w:eastAsia="方正黑体_GBK" w:cs="Times New Roman"/>
          <w:sz w:val="32"/>
          <w:szCs w:val="32"/>
        </w:rPr>
      </w:pPr>
      <w:bookmarkStart w:id="0" w:name="_Hlk173353529"/>
      <w:bookmarkEnd w:id="0"/>
      <w:r>
        <w:rPr>
          <w:rFonts w:hint="eastAsia" w:ascii="方正黑体_GBK" w:hAnsi="Times New Roman" w:eastAsia="方正黑体_GBK" w:cs="Times New Roman"/>
          <w:sz w:val="32"/>
          <w:szCs w:val="32"/>
        </w:rPr>
        <w:t>附件</w:t>
      </w:r>
    </w:p>
    <w:p w14:paraId="29FD0BA6">
      <w:pPr>
        <w:pageBreakBefore w:val="0"/>
        <w:widowControl w:val="0"/>
        <w:kinsoku/>
        <w:wordWrap w:val="0"/>
        <w:overflowPunct/>
        <w:topLinePunct w:val="0"/>
        <w:autoSpaceDE/>
        <w:autoSpaceDN/>
        <w:bidi w:val="0"/>
        <w:adjustRightInd/>
        <w:snapToGrid/>
        <w:spacing w:after="312" w:afterLines="100" w:line="240" w:lineRule="auto"/>
        <w:jc w:val="center"/>
        <w:textAlignment w:val="auto"/>
        <w:rPr>
          <w:rFonts w:ascii="方正黑体_GBK" w:hAnsi="Times New Roman" w:eastAsia="方正黑体_GBK" w:cs="Times New Roman"/>
          <w:sz w:val="32"/>
          <w:szCs w:val="32"/>
        </w:rPr>
      </w:pPr>
      <w:r>
        <w:rPr>
          <w:rFonts w:hint="eastAsia" w:ascii="方正黑体_GBK" w:hAnsi="Times New Roman" w:eastAsia="方正黑体_GBK" w:cs="Times New Roman"/>
          <w:sz w:val="32"/>
          <w:szCs w:val="32"/>
        </w:rPr>
        <w:t>城市轨道交通</w:t>
      </w:r>
      <w:r>
        <w:rPr>
          <w:rFonts w:hint="eastAsia" w:ascii="方正黑体_GBK" w:hAnsi="Times New Roman" w:eastAsia="方正黑体_GBK" w:cs="Times New Roman"/>
          <w:sz w:val="32"/>
          <w:szCs w:val="32"/>
          <w:lang w:val="en-US" w:eastAsia="zh-CN"/>
        </w:rPr>
        <w:t>工程</w:t>
      </w:r>
      <w:r>
        <w:rPr>
          <w:rFonts w:hint="eastAsia" w:ascii="方正黑体_GBK" w:hAnsi="Times New Roman" w:eastAsia="方正黑体_GBK" w:cs="Times New Roman"/>
          <w:sz w:val="32"/>
          <w:szCs w:val="32"/>
        </w:rPr>
        <w:t>消防设计常见错误（征求意见稿）</w:t>
      </w:r>
    </w:p>
    <w:p w14:paraId="7E19F875">
      <w:pPr>
        <w:pStyle w:val="3"/>
        <w:keepNext/>
        <w:keepLines/>
        <w:pageBreakBefore w:val="0"/>
        <w:widowControl w:val="0"/>
        <w:kinsoku/>
        <w:wordWrap w:val="0"/>
        <w:overflowPunct/>
        <w:topLinePunct w:val="0"/>
        <w:autoSpaceDE/>
        <w:autoSpaceDN/>
        <w:bidi w:val="0"/>
        <w:adjustRightInd/>
        <w:snapToGrid/>
        <w:spacing w:before="0" w:after="0" w:line="240" w:lineRule="auto"/>
        <w:jc w:val="center"/>
        <w:textAlignment w:val="auto"/>
        <w:rPr>
          <w:rFonts w:hint="eastAsia" w:ascii="方正黑体_GBK" w:hAnsi="Times New Roman" w:eastAsia="方正黑体_GBK" w:cs="Times New Roman"/>
          <w:b w:val="0"/>
          <w:bCs w:val="0"/>
          <w:kern w:val="2"/>
          <w:sz w:val="32"/>
          <w:szCs w:val="32"/>
          <w:lang w:val="en-US" w:eastAsia="zh-CN" w:bidi="ar-SA"/>
        </w:rPr>
      </w:pPr>
      <w:r>
        <w:rPr>
          <w:rFonts w:hint="eastAsia" w:ascii="方正黑体_GBK" w:hAnsi="Times New Roman" w:eastAsia="方正黑体_GBK" w:cs="Times New Roman"/>
          <w:b w:val="0"/>
          <w:bCs w:val="0"/>
          <w:kern w:val="2"/>
          <w:sz w:val="32"/>
          <w:szCs w:val="32"/>
          <w:lang w:val="en-US" w:eastAsia="zh-CN" w:bidi="ar-SA"/>
        </w:rPr>
        <w:t>1 建筑</w:t>
      </w:r>
    </w:p>
    <w:p w14:paraId="3F9DE1BF">
      <w:pPr>
        <w:pageBreakBefore w:val="0"/>
        <w:widowControl w:val="0"/>
        <w:kinsoku/>
        <w:wordWrap w:val="0"/>
        <w:overflowPunct/>
        <w:topLinePunct w:val="0"/>
        <w:autoSpaceDE/>
        <w:autoSpaceDN/>
        <w:bidi w:val="0"/>
        <w:adjustRightInd/>
        <w:snapToGrid/>
        <w:spacing w:line="240" w:lineRule="auto"/>
        <w:ind w:firstLine="544" w:firstLineChars="200"/>
        <w:jc w:val="left"/>
        <w:textAlignment w:val="auto"/>
        <w:rPr>
          <w:rFonts w:hint="eastAsia" w:ascii="宋体" w:hAnsi="宋体" w:cs="宋体"/>
          <w:spacing w:val="-4"/>
          <w:sz w:val="28"/>
          <w:szCs w:val="28"/>
        </w:rPr>
      </w:pPr>
      <w:r>
        <w:rPr>
          <w:rFonts w:hint="eastAsia" w:ascii="宋体" w:hAnsi="宋体" w:cs="宋体"/>
          <w:spacing w:val="-4"/>
          <w:sz w:val="28"/>
          <w:szCs w:val="28"/>
        </w:rPr>
        <w:t>1.0.1 当区间风井疏散楼梯在上下层不得不错位时，采用连续的通道连通，通道上开设其他的门洞。</w:t>
      </w:r>
    </w:p>
    <w:p w14:paraId="1B6BB520">
      <w:pPr>
        <w:pageBreakBefore w:val="0"/>
        <w:widowControl w:val="0"/>
        <w:kinsoku/>
        <w:wordWrap w:val="0"/>
        <w:overflowPunct/>
        <w:topLinePunct w:val="0"/>
        <w:autoSpaceDE/>
        <w:autoSpaceDN/>
        <w:bidi w:val="0"/>
        <w:adjustRightInd/>
        <w:snapToGrid/>
        <w:spacing w:line="240" w:lineRule="auto"/>
        <w:ind w:firstLine="546" w:firstLineChars="200"/>
        <w:jc w:val="left"/>
        <w:textAlignment w:val="auto"/>
        <w:rPr>
          <w:rFonts w:hint="eastAsia" w:ascii="宋体" w:hAnsi="宋体" w:cs="宋体"/>
          <w:spacing w:val="-4"/>
          <w:sz w:val="28"/>
          <w:szCs w:val="28"/>
        </w:rPr>
      </w:pPr>
      <w:r>
        <w:rPr>
          <w:rFonts w:hint="eastAsia" w:ascii="宋体" w:hAnsi="宋体" w:cs="宋体"/>
          <w:b/>
          <w:bCs/>
          <w:spacing w:val="-4"/>
          <w:sz w:val="28"/>
          <w:szCs w:val="28"/>
        </w:rPr>
        <w:t>依据：</w:t>
      </w:r>
      <w:r>
        <w:rPr>
          <w:rFonts w:hint="eastAsia" w:ascii="宋体" w:hAnsi="宋体" w:cs="宋体"/>
          <w:spacing w:val="-4"/>
          <w:sz w:val="28"/>
          <w:szCs w:val="28"/>
        </w:rPr>
        <w:t>《建筑防火通用规范》</w:t>
      </w:r>
      <w:r>
        <w:rPr>
          <w:rFonts w:hint="eastAsia" w:ascii="宋体" w:hAnsi="宋体" w:cs="宋体"/>
          <w:spacing w:val="-4"/>
          <w:sz w:val="28"/>
          <w:szCs w:val="28"/>
          <w:lang w:eastAsia="zh-CN"/>
        </w:rPr>
        <w:t>（</w:t>
      </w:r>
      <w:r>
        <w:rPr>
          <w:rFonts w:hint="eastAsia" w:ascii="宋体" w:hAnsi="宋体" w:cs="宋体"/>
          <w:spacing w:val="-4"/>
          <w:sz w:val="28"/>
          <w:szCs w:val="28"/>
        </w:rPr>
        <w:t>GB55037-2022</w:t>
      </w:r>
      <w:r>
        <w:rPr>
          <w:rFonts w:hint="eastAsia" w:ascii="宋体" w:hAnsi="宋体" w:cs="宋体"/>
          <w:spacing w:val="-4"/>
          <w:sz w:val="28"/>
          <w:szCs w:val="28"/>
          <w:lang w:eastAsia="zh-CN"/>
        </w:rPr>
        <w:t>）</w:t>
      </w:r>
      <w:r>
        <w:rPr>
          <w:rFonts w:hint="eastAsia" w:ascii="宋体" w:hAnsi="宋体" w:cs="宋体"/>
          <w:spacing w:val="-4"/>
          <w:sz w:val="28"/>
          <w:szCs w:val="28"/>
        </w:rPr>
        <w:t>第7.1.8条</w:t>
      </w:r>
      <w:r>
        <w:rPr>
          <w:rFonts w:hint="eastAsia" w:ascii="宋体" w:hAnsi="宋体" w:cs="宋体"/>
          <w:spacing w:val="-4"/>
          <w:sz w:val="28"/>
          <w:szCs w:val="28"/>
          <w:lang w:eastAsia="zh-CN"/>
        </w:rPr>
        <w:t>，</w:t>
      </w:r>
      <w:r>
        <w:rPr>
          <w:rFonts w:hint="eastAsia" w:ascii="宋体" w:hAnsi="宋体" w:cs="宋体"/>
          <w:spacing w:val="-4"/>
          <w:sz w:val="28"/>
          <w:szCs w:val="28"/>
        </w:rPr>
        <w:t>除疏散楼梯间及其前室的出入口、外窗和送风口，住宅建筑疏散楼梯间前室或合用前室内的管道井检查门外，疏散楼梯间及其前室或合用前室内的墙上不应设置其他门、窗等开口。</w:t>
      </w:r>
    </w:p>
    <w:p w14:paraId="19257D9F">
      <w:pPr>
        <w:pageBreakBefore w:val="0"/>
        <w:widowControl w:val="0"/>
        <w:kinsoku/>
        <w:wordWrap w:val="0"/>
        <w:overflowPunct/>
        <w:topLinePunct w:val="0"/>
        <w:autoSpaceDE/>
        <w:autoSpaceDN/>
        <w:bidi w:val="0"/>
        <w:adjustRightInd/>
        <w:snapToGrid/>
        <w:spacing w:line="240" w:lineRule="auto"/>
        <w:ind w:firstLine="544" w:firstLineChars="200"/>
        <w:jc w:val="left"/>
        <w:textAlignment w:val="auto"/>
        <w:rPr>
          <w:rFonts w:hint="eastAsia" w:ascii="宋体" w:hAnsi="宋体" w:cs="宋体"/>
          <w:spacing w:val="-4"/>
          <w:sz w:val="28"/>
          <w:szCs w:val="28"/>
        </w:rPr>
      </w:pPr>
      <w:r>
        <w:rPr>
          <w:rFonts w:hint="eastAsia" w:ascii="宋体" w:hAnsi="宋体" w:cs="宋体"/>
          <w:spacing w:val="-4"/>
          <w:sz w:val="28"/>
          <w:szCs w:val="28"/>
        </w:rPr>
        <w:t>案例：某区间风井在正线上设置疏散楼梯间后无条件直出地面，需通道疏散走道转出地面，疏散走道上开设检修门洞</w:t>
      </w:r>
      <w:r>
        <w:rPr>
          <w:rFonts w:hint="eastAsia" w:ascii="宋体" w:hAnsi="宋体" w:cs="宋体"/>
          <w:color w:val="000000"/>
          <w:sz w:val="28"/>
          <w:lang w:eastAsia="zh-CN"/>
        </w:rPr>
        <w:t>，不满足上述规范要求</w:t>
      </w:r>
      <w:r>
        <w:rPr>
          <w:rFonts w:hint="eastAsia" w:ascii="宋体" w:hAnsi="宋体" w:cs="宋体"/>
          <w:spacing w:val="-4"/>
          <w:sz w:val="28"/>
          <w:szCs w:val="28"/>
        </w:rPr>
        <w:t>。</w:t>
      </w:r>
      <w:r>
        <w:rPr>
          <w:rFonts w:hint="eastAsia" w:ascii="宋体" w:hAnsi="宋体" w:cs="宋体"/>
        </w:rPr>
        <w:drawing>
          <wp:inline distT="0" distB="0" distL="0" distR="0">
            <wp:extent cx="4972050" cy="2334260"/>
            <wp:effectExtent l="0" t="0" r="0" b="8889"/>
            <wp:docPr id="2"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1"/>
                    <pic:cNvPicPr>
                      <a:picLocks noChangeAspect="1"/>
                    </pic:cNvPicPr>
                  </pic:nvPicPr>
                  <pic:blipFill>
                    <a:blip r:embed="rId4"/>
                    <a:stretch>
                      <a:fillRect/>
                    </a:stretch>
                  </pic:blipFill>
                  <pic:spPr>
                    <a:xfrm>
                      <a:off x="0" y="0"/>
                      <a:ext cx="4972050" cy="2334260"/>
                    </a:xfrm>
                    <a:prstGeom prst="rect">
                      <a:avLst/>
                    </a:prstGeom>
                    <a:noFill/>
                    <a:ln w="9525" cap="flat" cmpd="sng">
                      <a:noFill/>
                      <a:prstDash val="solid"/>
                      <a:miter/>
                    </a:ln>
                  </pic:spPr>
                </pic:pic>
              </a:graphicData>
            </a:graphic>
          </wp:inline>
        </w:drawing>
      </w:r>
    </w:p>
    <w:p w14:paraId="2F80B1EC">
      <w:pPr>
        <w:pageBreakBefore w:val="0"/>
        <w:kinsoku/>
        <w:wordWrap w:val="0"/>
        <w:topLinePunct w:val="0"/>
        <w:bidi w:val="0"/>
        <w:snapToGrid/>
        <w:textAlignment w:val="auto"/>
        <w:rPr>
          <w:rFonts w:hint="eastAsia" w:ascii="宋体" w:hAnsi="宋体" w:cs="宋体"/>
          <w:bCs/>
          <w:color w:val="000000"/>
          <w:sz w:val="28"/>
          <w:szCs w:val="28"/>
        </w:rPr>
      </w:pPr>
    </w:p>
    <w:p w14:paraId="6F2C3A71">
      <w:pPr>
        <w:pageBreakBefore w:val="0"/>
        <w:kinsoku/>
        <w:wordWrap w:val="0"/>
        <w:topLinePunct w:val="0"/>
        <w:bidi w:val="0"/>
        <w:snapToGrid/>
        <w:ind w:firstLine="560" w:firstLineChars="200"/>
        <w:textAlignment w:val="auto"/>
        <w:rPr>
          <w:rFonts w:hint="eastAsia" w:ascii="宋体" w:hAnsi="宋体" w:cs="宋体"/>
          <w:sz w:val="28"/>
          <w:szCs w:val="28"/>
        </w:rPr>
      </w:pPr>
      <w:r>
        <w:rPr>
          <w:rFonts w:hint="eastAsia" w:ascii="宋体" w:hAnsi="宋体" w:cs="宋体"/>
          <w:bCs/>
          <w:color w:val="000000"/>
          <w:sz w:val="28"/>
          <w:szCs w:val="28"/>
        </w:rPr>
        <w:t>1.0.2 地上车站未设置消防救援窗，已安装的消防救援窗未贴明显标志</w:t>
      </w:r>
      <w:r>
        <w:rPr>
          <w:rFonts w:hint="eastAsia" w:ascii="宋体" w:hAnsi="宋体" w:cs="宋体"/>
          <w:sz w:val="28"/>
          <w:szCs w:val="28"/>
        </w:rPr>
        <w:t>。</w:t>
      </w:r>
    </w:p>
    <w:p w14:paraId="021ED4A3">
      <w:pPr>
        <w:pageBreakBefore w:val="0"/>
        <w:kinsoku/>
        <w:wordWrap w:val="0"/>
        <w:topLinePunct w:val="0"/>
        <w:bidi w:val="0"/>
        <w:snapToGrid/>
        <w:ind w:firstLine="562" w:firstLineChars="200"/>
        <w:textAlignment w:val="auto"/>
        <w:rPr>
          <w:rFonts w:hint="eastAsia" w:ascii="宋体" w:hAnsi="宋体" w:cs="宋体"/>
          <w:spacing w:val="-4"/>
          <w:sz w:val="28"/>
          <w:szCs w:val="28"/>
        </w:rPr>
      </w:pPr>
      <w:r>
        <w:rPr>
          <w:rFonts w:hint="eastAsia" w:ascii="宋体" w:hAnsi="宋体" w:cs="宋体"/>
          <w:b/>
          <w:bCs/>
          <w:sz w:val="28"/>
          <w:szCs w:val="28"/>
        </w:rPr>
        <w:t>依据</w:t>
      </w:r>
      <w:r>
        <w:rPr>
          <w:rFonts w:hint="eastAsia" w:ascii="宋体" w:hAnsi="宋体" w:cs="宋体"/>
          <w:b/>
          <w:sz w:val="28"/>
          <w:szCs w:val="28"/>
        </w:rPr>
        <w:t>：</w:t>
      </w:r>
      <w:r>
        <w:rPr>
          <w:rFonts w:hint="eastAsia" w:ascii="宋体" w:hAnsi="宋体" w:cs="宋体"/>
          <w:spacing w:val="-4"/>
          <w:sz w:val="28"/>
          <w:szCs w:val="28"/>
        </w:rPr>
        <w:t>《建筑设计防火规范》</w:t>
      </w:r>
      <w:r>
        <w:rPr>
          <w:rFonts w:hint="eastAsia" w:ascii="宋体" w:hAnsi="宋体" w:cs="宋体"/>
          <w:spacing w:val="-4"/>
          <w:sz w:val="28"/>
          <w:szCs w:val="28"/>
          <w:lang w:eastAsia="zh-CN"/>
        </w:rPr>
        <w:t>（</w:t>
      </w:r>
      <w:r>
        <w:rPr>
          <w:rFonts w:hint="eastAsia" w:ascii="宋体" w:hAnsi="宋体" w:cs="宋体"/>
          <w:spacing w:val="-4"/>
          <w:sz w:val="28"/>
          <w:szCs w:val="28"/>
        </w:rPr>
        <w:t>GB50016-2014（2018版）</w:t>
      </w:r>
      <w:r>
        <w:rPr>
          <w:rFonts w:hint="eastAsia" w:ascii="宋体" w:hAnsi="宋体" w:cs="宋体"/>
          <w:spacing w:val="-4"/>
          <w:sz w:val="28"/>
          <w:szCs w:val="28"/>
          <w:lang w:eastAsia="zh-CN"/>
        </w:rPr>
        <w:t>）</w:t>
      </w:r>
      <w:r>
        <w:rPr>
          <w:rFonts w:hint="eastAsia" w:ascii="宋体" w:hAnsi="宋体" w:cs="宋体"/>
          <w:spacing w:val="-4"/>
          <w:sz w:val="28"/>
          <w:szCs w:val="28"/>
        </w:rPr>
        <w:t>第7.2.5条</w:t>
      </w:r>
      <w:r>
        <w:rPr>
          <w:rFonts w:hint="eastAsia" w:ascii="宋体" w:hAnsi="宋体" w:cs="宋体"/>
          <w:spacing w:val="-4"/>
          <w:sz w:val="28"/>
          <w:szCs w:val="28"/>
          <w:lang w:eastAsia="zh-CN"/>
        </w:rPr>
        <w:t>，</w:t>
      </w:r>
      <w:r>
        <w:rPr>
          <w:rFonts w:hint="eastAsia" w:ascii="宋体" w:hAnsi="宋体" w:cs="宋体"/>
          <w:spacing w:val="-4"/>
          <w:sz w:val="28"/>
          <w:szCs w:val="28"/>
        </w:rPr>
        <w:t>供消防救援人员进入的窗口的净高度和净宽度均不应小于1m，下沿距室内地面不宜大于1.2m，间距不宜大于20m且每个防火分区不应少于2个，设置位置应与消防登高操作场地相对应。窗口的玻璃应易于破碎，并应设置可在室外易于识别的明显标志。</w:t>
      </w:r>
    </w:p>
    <w:p w14:paraId="116A86AF">
      <w:pPr>
        <w:pageBreakBefore w:val="0"/>
        <w:kinsoku/>
        <w:wordWrap w:val="0"/>
        <w:topLinePunct w:val="0"/>
        <w:bidi w:val="0"/>
        <w:snapToGrid/>
        <w:ind w:firstLine="544" w:firstLineChars="200"/>
        <w:textAlignment w:val="auto"/>
        <w:rPr>
          <w:rFonts w:hint="eastAsia" w:ascii="宋体" w:hAnsi="宋体" w:cs="宋体"/>
          <w:spacing w:val="-4"/>
          <w:sz w:val="28"/>
          <w:szCs w:val="28"/>
        </w:rPr>
      </w:pPr>
      <w:r>
        <w:rPr>
          <w:rFonts w:hint="eastAsia" w:ascii="宋体" w:hAnsi="宋体" w:cs="宋体"/>
          <w:spacing w:val="-4"/>
          <w:sz w:val="28"/>
          <w:szCs w:val="28"/>
        </w:rPr>
        <w:t>案例：某地面车站未设置消防救援窗</w:t>
      </w:r>
      <w:r>
        <w:rPr>
          <w:rFonts w:hint="eastAsia" w:ascii="宋体" w:hAnsi="宋体" w:cs="宋体"/>
          <w:color w:val="000000"/>
          <w:sz w:val="28"/>
          <w:lang w:eastAsia="zh-CN"/>
        </w:rPr>
        <w:t>，不满足上述规范要求</w:t>
      </w:r>
      <w:r>
        <w:rPr>
          <w:rFonts w:hint="eastAsia" w:ascii="宋体" w:hAnsi="宋体" w:cs="宋体"/>
          <w:spacing w:val="-4"/>
          <w:sz w:val="28"/>
          <w:szCs w:val="28"/>
        </w:rPr>
        <w:t>。</w:t>
      </w:r>
    </w:p>
    <w:p w14:paraId="37415BD9">
      <w:pPr>
        <w:pageBreakBefore w:val="0"/>
        <w:kinsoku/>
        <w:wordWrap w:val="0"/>
        <w:topLinePunct w:val="0"/>
        <w:bidi w:val="0"/>
        <w:snapToGrid/>
        <w:ind w:firstLine="420" w:firstLineChars="200"/>
        <w:jc w:val="center"/>
        <w:textAlignment w:val="auto"/>
        <w:rPr>
          <w:rFonts w:hint="eastAsia" w:ascii="宋体" w:hAnsi="宋体" w:cs="宋体"/>
          <w:spacing w:val="-4"/>
          <w:sz w:val="28"/>
          <w:szCs w:val="28"/>
        </w:rPr>
      </w:pPr>
      <w:r>
        <w:rPr>
          <w:rFonts w:hint="eastAsia" w:ascii="宋体" w:hAnsi="宋体" w:cs="宋体"/>
        </w:rPr>
        <w:drawing>
          <wp:inline distT="0" distB="0" distL="0" distR="0">
            <wp:extent cx="2152650" cy="1541780"/>
            <wp:effectExtent l="0" t="0" r="0" b="1270"/>
            <wp:docPr id="4"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1"/>
                    <pic:cNvPicPr>
                      <a:picLocks noChangeAspect="1"/>
                    </pic:cNvPicPr>
                  </pic:nvPicPr>
                  <pic:blipFill>
                    <a:blip r:embed="rId5"/>
                    <a:stretch>
                      <a:fillRect/>
                    </a:stretch>
                  </pic:blipFill>
                  <pic:spPr>
                    <a:xfrm>
                      <a:off x="0" y="0"/>
                      <a:ext cx="2152650" cy="1541780"/>
                    </a:xfrm>
                    <a:prstGeom prst="rect">
                      <a:avLst/>
                    </a:prstGeom>
                    <a:noFill/>
                    <a:ln w="9525" cap="flat" cmpd="sng">
                      <a:noFill/>
                      <a:prstDash val="solid"/>
                      <a:miter/>
                    </a:ln>
                  </pic:spPr>
                </pic:pic>
              </a:graphicData>
            </a:graphic>
          </wp:inline>
        </w:drawing>
      </w:r>
      <w:r>
        <w:rPr>
          <w:rFonts w:hint="eastAsia" w:ascii="宋体" w:hAnsi="宋体" w:cs="宋体"/>
          <w:spacing w:val="-4"/>
          <w:sz w:val="28"/>
          <w:szCs w:val="28"/>
        </w:rPr>
        <w:t xml:space="preserve">  </w:t>
      </w:r>
      <w:r>
        <w:rPr>
          <w:rFonts w:hint="eastAsia" w:ascii="宋体" w:hAnsi="宋体" w:cs="宋体"/>
        </w:rPr>
        <w:drawing>
          <wp:inline distT="0" distB="0" distL="0" distR="0">
            <wp:extent cx="2449830" cy="1533525"/>
            <wp:effectExtent l="0" t="0" r="6985" b="0"/>
            <wp:docPr id="5"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1"/>
                    <pic:cNvPicPr>
                      <a:picLocks noChangeAspect="1"/>
                    </pic:cNvPicPr>
                  </pic:nvPicPr>
                  <pic:blipFill>
                    <a:blip r:embed="rId6"/>
                    <a:srcRect b="3833"/>
                    <a:stretch>
                      <a:fillRect/>
                    </a:stretch>
                  </pic:blipFill>
                  <pic:spPr>
                    <a:xfrm>
                      <a:off x="0" y="0"/>
                      <a:ext cx="2450464" cy="1533525"/>
                    </a:xfrm>
                    <a:prstGeom prst="rect">
                      <a:avLst/>
                    </a:prstGeom>
                    <a:noFill/>
                    <a:ln cap="flat" cmpd="sng">
                      <a:noFill/>
                      <a:prstDash val="solid"/>
                      <a:round/>
                    </a:ln>
                  </pic:spPr>
                </pic:pic>
              </a:graphicData>
            </a:graphic>
          </wp:inline>
        </w:drawing>
      </w:r>
    </w:p>
    <w:p w14:paraId="1790A161">
      <w:pPr>
        <w:pageBreakBefore w:val="0"/>
        <w:kinsoku/>
        <w:wordWrap w:val="0"/>
        <w:topLinePunct w:val="0"/>
        <w:bidi w:val="0"/>
        <w:snapToGrid/>
        <w:ind w:firstLine="544" w:firstLineChars="200"/>
        <w:jc w:val="center"/>
        <w:textAlignment w:val="auto"/>
        <w:rPr>
          <w:rFonts w:hint="eastAsia" w:ascii="宋体" w:hAnsi="宋体" w:cs="宋体"/>
          <w:spacing w:val="-4"/>
          <w:sz w:val="28"/>
          <w:szCs w:val="28"/>
        </w:rPr>
      </w:pPr>
      <w:r>
        <w:rPr>
          <w:rFonts w:hint="eastAsia" w:ascii="宋体" w:hAnsi="宋体" w:cs="宋体"/>
          <w:spacing w:val="-4"/>
          <w:sz w:val="28"/>
          <w:szCs w:val="28"/>
        </w:rPr>
        <w:t>未设置消防救援窗            已设置消防救援窗</w:t>
      </w:r>
    </w:p>
    <w:p w14:paraId="39D03258">
      <w:pPr>
        <w:pageBreakBefore w:val="0"/>
        <w:kinsoku/>
        <w:wordWrap w:val="0"/>
        <w:topLinePunct w:val="0"/>
        <w:bidi w:val="0"/>
        <w:snapToGrid/>
        <w:ind w:firstLine="560" w:firstLineChars="200"/>
        <w:textAlignment w:val="auto"/>
        <w:rPr>
          <w:rFonts w:hint="eastAsia" w:ascii="宋体" w:hAnsi="宋体" w:cs="宋体"/>
          <w:bCs/>
          <w:color w:val="000000"/>
          <w:sz w:val="28"/>
          <w:szCs w:val="28"/>
        </w:rPr>
      </w:pPr>
    </w:p>
    <w:p w14:paraId="66729423">
      <w:pPr>
        <w:pageBreakBefore w:val="0"/>
        <w:kinsoku/>
        <w:wordWrap w:val="0"/>
        <w:topLinePunct w:val="0"/>
        <w:bidi w:val="0"/>
        <w:snapToGrid/>
        <w:ind w:firstLine="560" w:firstLineChars="200"/>
        <w:textAlignment w:val="auto"/>
        <w:rPr>
          <w:rFonts w:hint="eastAsia" w:ascii="宋体" w:hAnsi="宋体" w:cs="宋体"/>
          <w:sz w:val="28"/>
          <w:szCs w:val="28"/>
        </w:rPr>
      </w:pPr>
      <w:r>
        <w:rPr>
          <w:rFonts w:hint="eastAsia" w:ascii="宋体" w:hAnsi="宋体" w:cs="宋体"/>
          <w:bCs/>
          <w:color w:val="000000"/>
          <w:sz w:val="28"/>
          <w:szCs w:val="28"/>
        </w:rPr>
        <w:t>1.0.3</w:t>
      </w:r>
      <w:r>
        <w:rPr>
          <w:rFonts w:hint="eastAsia" w:ascii="宋体" w:hAnsi="宋体" w:cs="宋体"/>
          <w:bCs/>
          <w:color w:val="000000"/>
          <w:sz w:val="28"/>
          <w:szCs w:val="28"/>
          <w:lang w:val="en-US" w:eastAsia="zh-CN"/>
        </w:rPr>
        <w:t xml:space="preserve"> </w:t>
      </w:r>
      <w:r>
        <w:rPr>
          <w:rFonts w:hint="eastAsia" w:ascii="宋体" w:hAnsi="宋体" w:cs="宋体"/>
          <w:bCs/>
          <w:color w:val="000000"/>
          <w:sz w:val="28"/>
          <w:szCs w:val="28"/>
        </w:rPr>
        <w:t>主变电所、控制中心、</w:t>
      </w:r>
      <w:r>
        <w:rPr>
          <w:rFonts w:hint="eastAsia" w:ascii="宋体" w:hAnsi="宋体" w:cs="宋体"/>
          <w:sz w:val="28"/>
          <w:szCs w:val="28"/>
        </w:rPr>
        <w:t>易燃物品库、油漆库等的耐火等级未达到一级。</w:t>
      </w:r>
    </w:p>
    <w:p w14:paraId="4858AD22">
      <w:pPr>
        <w:pageBreakBefore w:val="0"/>
        <w:kinsoku/>
        <w:wordWrap w:val="0"/>
        <w:topLinePunct w:val="0"/>
        <w:bidi w:val="0"/>
        <w:snapToGrid/>
        <w:ind w:firstLine="546" w:firstLineChars="200"/>
        <w:textAlignment w:val="auto"/>
        <w:rPr>
          <w:rFonts w:hint="eastAsia" w:ascii="宋体" w:hAnsi="宋体" w:eastAsia="宋体" w:cs="宋体"/>
          <w:spacing w:val="-4"/>
          <w:sz w:val="28"/>
          <w:szCs w:val="28"/>
          <w:lang w:eastAsia="zh-CN"/>
        </w:rPr>
      </w:pPr>
      <w:r>
        <w:rPr>
          <w:rFonts w:hint="eastAsia" w:ascii="宋体" w:hAnsi="宋体" w:cs="宋体"/>
          <w:b/>
          <w:bCs/>
          <w:spacing w:val="-4"/>
          <w:sz w:val="28"/>
          <w:szCs w:val="28"/>
        </w:rPr>
        <w:t>依据：</w:t>
      </w:r>
      <w:r>
        <w:rPr>
          <w:rFonts w:hint="eastAsia" w:ascii="宋体" w:hAnsi="宋体" w:cs="宋体"/>
          <w:spacing w:val="-4"/>
          <w:sz w:val="28"/>
          <w:szCs w:val="28"/>
        </w:rPr>
        <w:t>《地铁设计防火标准》</w:t>
      </w:r>
      <w:r>
        <w:rPr>
          <w:rFonts w:hint="eastAsia" w:ascii="宋体" w:hAnsi="宋体" w:cs="宋体"/>
          <w:spacing w:val="-4"/>
          <w:sz w:val="28"/>
          <w:szCs w:val="28"/>
          <w:lang w:eastAsia="zh-CN"/>
        </w:rPr>
        <w:t>（</w:t>
      </w:r>
      <w:r>
        <w:rPr>
          <w:rFonts w:hint="eastAsia" w:ascii="宋体" w:hAnsi="宋体" w:cs="宋体"/>
          <w:spacing w:val="-4"/>
          <w:sz w:val="28"/>
          <w:szCs w:val="28"/>
        </w:rPr>
        <w:t>GB51298-2018</w:t>
      </w:r>
      <w:r>
        <w:rPr>
          <w:rFonts w:hint="eastAsia" w:ascii="宋体" w:hAnsi="宋体" w:cs="宋体"/>
          <w:spacing w:val="-4"/>
          <w:sz w:val="28"/>
          <w:szCs w:val="28"/>
          <w:lang w:eastAsia="zh-CN"/>
        </w:rPr>
        <w:t>）</w:t>
      </w:r>
      <w:r>
        <w:rPr>
          <w:rFonts w:hint="eastAsia" w:ascii="宋体" w:hAnsi="宋体" w:cs="宋体"/>
          <w:spacing w:val="-4"/>
          <w:sz w:val="28"/>
          <w:szCs w:val="28"/>
        </w:rPr>
        <w:t>第4.1.1条</w:t>
      </w:r>
      <w:r>
        <w:rPr>
          <w:rFonts w:hint="eastAsia" w:ascii="宋体" w:hAnsi="宋体" w:cs="宋体"/>
          <w:spacing w:val="-4"/>
          <w:sz w:val="28"/>
          <w:szCs w:val="28"/>
          <w:lang w:eastAsia="zh-CN"/>
        </w:rPr>
        <w:t>，</w:t>
      </w:r>
    </w:p>
    <w:p w14:paraId="5C61DAC2">
      <w:pPr>
        <w:pageBreakBefore w:val="0"/>
        <w:kinsoku/>
        <w:wordWrap w:val="0"/>
        <w:topLinePunct w:val="0"/>
        <w:bidi w:val="0"/>
        <w:snapToGrid/>
        <w:ind w:firstLine="544" w:firstLineChars="200"/>
        <w:textAlignment w:val="auto"/>
        <w:rPr>
          <w:rFonts w:hint="eastAsia" w:ascii="宋体" w:hAnsi="宋体" w:cs="宋体"/>
          <w:spacing w:val="-4"/>
          <w:sz w:val="28"/>
          <w:szCs w:val="28"/>
        </w:rPr>
      </w:pPr>
      <w:r>
        <w:rPr>
          <w:rFonts w:hint="eastAsia" w:ascii="宋体" w:hAnsi="宋体" w:cs="宋体"/>
          <w:spacing w:val="-4"/>
          <w:sz w:val="28"/>
          <w:szCs w:val="28"/>
        </w:rPr>
        <w:t>下列建筑的耐火等级应为一级：</w:t>
      </w:r>
    </w:p>
    <w:p w14:paraId="0927EE2B">
      <w:pPr>
        <w:pageBreakBefore w:val="0"/>
        <w:kinsoku/>
        <w:wordWrap w:val="0"/>
        <w:topLinePunct w:val="0"/>
        <w:bidi w:val="0"/>
        <w:snapToGrid/>
        <w:ind w:firstLine="544" w:firstLineChars="200"/>
        <w:textAlignment w:val="auto"/>
        <w:rPr>
          <w:rFonts w:hint="eastAsia" w:ascii="宋体" w:hAnsi="宋体" w:cs="宋体"/>
          <w:spacing w:val="-4"/>
          <w:sz w:val="28"/>
          <w:szCs w:val="28"/>
        </w:rPr>
      </w:pPr>
      <w:r>
        <w:rPr>
          <w:rFonts w:hint="eastAsia" w:ascii="宋体" w:hAnsi="宋体" w:cs="宋体"/>
          <w:spacing w:val="-4"/>
          <w:sz w:val="28"/>
          <w:szCs w:val="28"/>
        </w:rPr>
        <w:t>1地下车站及其出入口通道、风道；</w:t>
      </w:r>
    </w:p>
    <w:p w14:paraId="0BB2AAE1">
      <w:pPr>
        <w:pageBreakBefore w:val="0"/>
        <w:kinsoku/>
        <w:wordWrap w:val="0"/>
        <w:topLinePunct w:val="0"/>
        <w:bidi w:val="0"/>
        <w:snapToGrid/>
        <w:ind w:firstLine="544" w:firstLineChars="200"/>
        <w:textAlignment w:val="auto"/>
        <w:rPr>
          <w:rFonts w:hint="eastAsia" w:ascii="宋体" w:hAnsi="宋体" w:cs="宋体"/>
          <w:spacing w:val="-4"/>
          <w:sz w:val="28"/>
          <w:szCs w:val="28"/>
        </w:rPr>
      </w:pPr>
      <w:r>
        <w:rPr>
          <w:rFonts w:hint="eastAsia" w:ascii="宋体" w:hAnsi="宋体" w:cs="宋体"/>
          <w:spacing w:val="-4"/>
          <w:sz w:val="28"/>
          <w:szCs w:val="28"/>
        </w:rPr>
        <w:t>2地下区间、联络通道、区间风井及风道；</w:t>
      </w:r>
    </w:p>
    <w:p w14:paraId="1E6E9179">
      <w:pPr>
        <w:pageBreakBefore w:val="0"/>
        <w:kinsoku/>
        <w:wordWrap w:val="0"/>
        <w:topLinePunct w:val="0"/>
        <w:bidi w:val="0"/>
        <w:snapToGrid/>
        <w:ind w:firstLine="544" w:firstLineChars="200"/>
        <w:textAlignment w:val="auto"/>
        <w:rPr>
          <w:rFonts w:hint="eastAsia" w:ascii="宋体" w:hAnsi="宋体" w:cs="宋体"/>
          <w:spacing w:val="-4"/>
          <w:sz w:val="28"/>
          <w:szCs w:val="28"/>
        </w:rPr>
      </w:pPr>
      <w:r>
        <w:rPr>
          <w:rFonts w:hint="eastAsia" w:ascii="宋体" w:hAnsi="宋体" w:cs="宋体"/>
          <w:spacing w:val="-4"/>
          <w:sz w:val="28"/>
          <w:szCs w:val="28"/>
        </w:rPr>
        <w:t>3控制中心；</w:t>
      </w:r>
    </w:p>
    <w:p w14:paraId="444679AA">
      <w:pPr>
        <w:pageBreakBefore w:val="0"/>
        <w:kinsoku/>
        <w:wordWrap w:val="0"/>
        <w:topLinePunct w:val="0"/>
        <w:bidi w:val="0"/>
        <w:snapToGrid/>
        <w:ind w:firstLine="544" w:firstLineChars="200"/>
        <w:textAlignment w:val="auto"/>
        <w:rPr>
          <w:rFonts w:hint="eastAsia" w:ascii="宋体" w:hAnsi="宋体" w:cs="宋体"/>
          <w:spacing w:val="-4"/>
          <w:sz w:val="28"/>
          <w:szCs w:val="28"/>
        </w:rPr>
      </w:pPr>
      <w:r>
        <w:rPr>
          <w:rFonts w:hint="eastAsia" w:ascii="宋体" w:hAnsi="宋体" w:cs="宋体"/>
          <w:spacing w:val="-4"/>
          <w:sz w:val="28"/>
          <w:szCs w:val="28"/>
        </w:rPr>
        <w:t>4主变电所；</w:t>
      </w:r>
    </w:p>
    <w:p w14:paraId="6E5EE950">
      <w:pPr>
        <w:pageBreakBefore w:val="0"/>
        <w:kinsoku/>
        <w:wordWrap w:val="0"/>
        <w:topLinePunct w:val="0"/>
        <w:bidi w:val="0"/>
        <w:snapToGrid/>
        <w:ind w:firstLine="544" w:firstLineChars="200"/>
        <w:textAlignment w:val="auto"/>
        <w:rPr>
          <w:rFonts w:hint="eastAsia" w:ascii="宋体" w:hAnsi="宋体" w:cs="宋体"/>
          <w:spacing w:val="-4"/>
          <w:sz w:val="28"/>
          <w:szCs w:val="28"/>
        </w:rPr>
      </w:pPr>
      <w:r>
        <w:rPr>
          <w:rFonts w:hint="eastAsia" w:ascii="宋体" w:hAnsi="宋体" w:cs="宋体"/>
          <w:spacing w:val="-4"/>
          <w:sz w:val="28"/>
          <w:szCs w:val="28"/>
        </w:rPr>
        <w:t>5易燃物品库、油漆库；</w:t>
      </w:r>
    </w:p>
    <w:p w14:paraId="5ADAF085">
      <w:pPr>
        <w:pageBreakBefore w:val="0"/>
        <w:kinsoku/>
        <w:wordWrap w:val="0"/>
        <w:topLinePunct w:val="0"/>
        <w:bidi w:val="0"/>
        <w:snapToGrid/>
        <w:ind w:firstLine="544" w:firstLineChars="200"/>
        <w:textAlignment w:val="auto"/>
        <w:rPr>
          <w:rFonts w:hint="eastAsia" w:ascii="宋体" w:hAnsi="宋体" w:cs="宋体"/>
          <w:spacing w:val="-4"/>
          <w:sz w:val="28"/>
          <w:szCs w:val="28"/>
        </w:rPr>
      </w:pPr>
      <w:r>
        <w:rPr>
          <w:rFonts w:hint="eastAsia" w:ascii="宋体" w:hAnsi="宋体" w:cs="宋体"/>
          <w:spacing w:val="-4"/>
          <w:sz w:val="28"/>
          <w:szCs w:val="28"/>
        </w:rPr>
        <w:t>6地下停车库、列检库、停车列检库、运用库、联合检修库及其他检修用房。</w:t>
      </w:r>
    </w:p>
    <w:p w14:paraId="518638BD">
      <w:pPr>
        <w:pageBreakBefore w:val="0"/>
        <w:kinsoku/>
        <w:wordWrap w:val="0"/>
        <w:topLinePunct w:val="0"/>
        <w:bidi w:val="0"/>
        <w:snapToGrid/>
        <w:ind w:firstLine="544" w:firstLineChars="200"/>
        <w:textAlignment w:val="auto"/>
        <w:rPr>
          <w:rFonts w:hint="eastAsia" w:ascii="宋体" w:hAnsi="宋体" w:eastAsia="宋体" w:cs="宋体"/>
          <w:spacing w:val="-4"/>
          <w:sz w:val="28"/>
          <w:szCs w:val="28"/>
          <w:lang w:eastAsia="zh-CN"/>
        </w:rPr>
      </w:pPr>
      <w:r>
        <w:rPr>
          <w:rFonts w:hint="eastAsia" w:ascii="宋体" w:hAnsi="宋体" w:cs="宋体"/>
          <w:spacing w:val="-4"/>
          <w:sz w:val="28"/>
          <w:szCs w:val="28"/>
        </w:rPr>
        <w:t>案例：某车辆基地杂品库为甲类仓库，耐火等级定为二级</w:t>
      </w:r>
      <w:r>
        <w:rPr>
          <w:rFonts w:hint="eastAsia" w:ascii="宋体" w:hAnsi="宋体" w:cs="宋体"/>
          <w:color w:val="000000"/>
          <w:sz w:val="28"/>
          <w:lang w:eastAsia="zh-CN"/>
        </w:rPr>
        <w:t>，不满足上述规范要求</w:t>
      </w:r>
      <w:r>
        <w:rPr>
          <w:rFonts w:hint="eastAsia" w:ascii="宋体" w:hAnsi="宋体" w:cs="宋体"/>
          <w:spacing w:val="-4"/>
          <w:sz w:val="28"/>
          <w:szCs w:val="28"/>
        </w:rPr>
        <w:t>。</w:t>
      </w:r>
    </w:p>
    <w:p w14:paraId="318ED72E">
      <w:pPr>
        <w:pageBreakBefore w:val="0"/>
        <w:kinsoku/>
        <w:wordWrap w:val="0"/>
        <w:topLinePunct w:val="0"/>
        <w:bidi w:val="0"/>
        <w:snapToGrid/>
        <w:ind w:firstLine="560" w:firstLineChars="200"/>
        <w:textAlignment w:val="auto"/>
        <w:rPr>
          <w:rFonts w:hint="eastAsia" w:ascii="宋体" w:hAnsi="宋体" w:cs="宋体"/>
          <w:bCs/>
          <w:color w:val="000000"/>
          <w:sz w:val="28"/>
          <w:szCs w:val="28"/>
        </w:rPr>
      </w:pPr>
    </w:p>
    <w:p w14:paraId="00A408E1">
      <w:pPr>
        <w:pageBreakBefore w:val="0"/>
        <w:kinsoku/>
        <w:wordWrap w:val="0"/>
        <w:topLinePunct w:val="0"/>
        <w:bidi w:val="0"/>
        <w:snapToGrid/>
        <w:ind w:firstLine="560" w:firstLineChars="200"/>
        <w:textAlignment w:val="auto"/>
        <w:rPr>
          <w:rFonts w:hint="eastAsia" w:ascii="宋体" w:hAnsi="宋体" w:cs="宋体"/>
          <w:bCs/>
          <w:color w:val="000000"/>
          <w:sz w:val="28"/>
          <w:szCs w:val="28"/>
        </w:rPr>
      </w:pPr>
      <w:r>
        <w:rPr>
          <w:rFonts w:hint="eastAsia" w:ascii="宋体" w:hAnsi="宋体" w:cs="宋体"/>
          <w:bCs/>
          <w:color w:val="000000"/>
          <w:sz w:val="28"/>
          <w:szCs w:val="28"/>
        </w:rPr>
        <w:t>1.0.4</w:t>
      </w:r>
      <w:r>
        <w:rPr>
          <w:rFonts w:hint="eastAsia" w:ascii="宋体" w:hAnsi="宋体" w:cs="宋体"/>
          <w:bCs/>
          <w:color w:val="000000"/>
          <w:sz w:val="28"/>
          <w:szCs w:val="28"/>
          <w:lang w:val="en-US" w:eastAsia="zh-CN"/>
        </w:rPr>
        <w:t xml:space="preserve"> </w:t>
      </w:r>
      <w:r>
        <w:rPr>
          <w:rFonts w:hint="eastAsia" w:ascii="宋体" w:hAnsi="宋体" w:cs="宋体"/>
          <w:bCs/>
          <w:color w:val="000000"/>
          <w:sz w:val="28"/>
          <w:szCs w:val="28"/>
        </w:rPr>
        <w:t>消防</w:t>
      </w:r>
      <w:r>
        <w:rPr>
          <w:rFonts w:hint="eastAsia" w:ascii="宋体" w:hAnsi="宋体" w:cs="宋体"/>
          <w:bCs/>
          <w:color w:val="000000"/>
          <w:sz w:val="28"/>
          <w:szCs w:val="28"/>
          <w:lang w:val="en-US" w:eastAsia="zh-CN"/>
        </w:rPr>
        <w:t>水</w:t>
      </w:r>
      <w:r>
        <w:rPr>
          <w:rFonts w:hint="eastAsia" w:ascii="宋体" w:hAnsi="宋体" w:cs="宋体"/>
          <w:bCs/>
          <w:color w:val="000000"/>
          <w:sz w:val="28"/>
          <w:szCs w:val="28"/>
        </w:rPr>
        <w:t>泵房未设置挡水槛。</w:t>
      </w:r>
    </w:p>
    <w:p w14:paraId="775D343E">
      <w:pPr>
        <w:pageBreakBefore w:val="0"/>
        <w:kinsoku/>
        <w:wordWrap w:val="0"/>
        <w:topLinePunct w:val="0"/>
        <w:bidi w:val="0"/>
        <w:snapToGrid/>
        <w:ind w:firstLine="562" w:firstLineChars="200"/>
        <w:textAlignment w:val="auto"/>
        <w:rPr>
          <w:rFonts w:hint="eastAsia" w:ascii="宋体" w:hAnsi="宋体" w:cs="宋体"/>
          <w:bCs/>
          <w:color w:val="000000"/>
          <w:sz w:val="28"/>
          <w:szCs w:val="28"/>
        </w:rPr>
      </w:pPr>
      <w:r>
        <w:rPr>
          <w:rFonts w:hint="eastAsia" w:ascii="宋体" w:hAnsi="宋体" w:cs="宋体"/>
          <w:b/>
          <w:bCs/>
          <w:sz w:val="28"/>
          <w:szCs w:val="28"/>
        </w:rPr>
        <w:t>依据：</w:t>
      </w:r>
      <w:r>
        <w:rPr>
          <w:rFonts w:hint="eastAsia" w:ascii="宋体" w:hAnsi="宋体" w:cs="宋体"/>
          <w:bCs/>
          <w:color w:val="000000"/>
          <w:sz w:val="28"/>
          <w:szCs w:val="28"/>
        </w:rPr>
        <w:t>《建筑设计防火规范》（GB50016-2014</w:t>
      </w:r>
      <w:r>
        <w:rPr>
          <w:rFonts w:hint="eastAsia" w:ascii="宋体" w:hAnsi="宋体" w:cs="宋体"/>
          <w:spacing w:val="-4"/>
          <w:sz w:val="28"/>
          <w:szCs w:val="28"/>
        </w:rPr>
        <w:t>（2018版）</w:t>
      </w:r>
      <w:r>
        <w:rPr>
          <w:rFonts w:hint="eastAsia" w:ascii="宋体" w:hAnsi="宋体" w:cs="宋体"/>
          <w:bCs/>
          <w:color w:val="000000"/>
          <w:sz w:val="28"/>
          <w:szCs w:val="28"/>
        </w:rPr>
        <w:t>）第8.1.8条</w:t>
      </w:r>
      <w:r>
        <w:rPr>
          <w:rFonts w:hint="eastAsia" w:ascii="宋体" w:hAnsi="宋体" w:cs="宋体"/>
          <w:bCs/>
          <w:color w:val="000000"/>
          <w:sz w:val="28"/>
          <w:szCs w:val="28"/>
          <w:lang w:eastAsia="zh-CN"/>
        </w:rPr>
        <w:t>，</w:t>
      </w:r>
      <w:r>
        <w:rPr>
          <w:rFonts w:hint="eastAsia" w:ascii="宋体" w:hAnsi="宋体" w:cs="宋体"/>
          <w:bCs/>
          <w:color w:val="000000"/>
          <w:sz w:val="28"/>
          <w:szCs w:val="28"/>
        </w:rPr>
        <w:t>消防水泵房和消防控制室应采取防水淹的技术措施。</w:t>
      </w:r>
    </w:p>
    <w:p w14:paraId="40C85768">
      <w:pPr>
        <w:pageBreakBefore w:val="0"/>
        <w:kinsoku/>
        <w:wordWrap w:val="0"/>
        <w:topLinePunct w:val="0"/>
        <w:bidi w:val="0"/>
        <w:snapToGrid/>
        <w:ind w:firstLine="544" w:firstLineChars="200"/>
        <w:textAlignment w:val="auto"/>
        <w:rPr>
          <w:rFonts w:hint="eastAsia" w:ascii="宋体" w:hAnsi="宋体" w:cs="宋体"/>
          <w:bCs/>
          <w:color w:val="000000"/>
          <w:sz w:val="28"/>
          <w:szCs w:val="28"/>
        </w:rPr>
      </w:pPr>
      <w:r>
        <w:rPr>
          <w:rFonts w:hint="eastAsia" w:ascii="宋体" w:hAnsi="宋体" w:cs="宋体"/>
          <w:spacing w:val="-4"/>
          <w:sz w:val="28"/>
          <w:szCs w:val="28"/>
        </w:rPr>
        <w:t>案例：</w:t>
      </w:r>
      <w:r>
        <w:rPr>
          <w:rFonts w:hint="eastAsia" w:ascii="宋体" w:hAnsi="宋体" w:cs="宋体"/>
          <w:bCs/>
          <w:color w:val="000000"/>
          <w:sz w:val="28"/>
          <w:szCs w:val="28"/>
        </w:rPr>
        <w:t>某车站消防</w:t>
      </w:r>
      <w:r>
        <w:rPr>
          <w:rFonts w:hint="eastAsia" w:ascii="宋体" w:hAnsi="宋体" w:cs="宋体"/>
          <w:bCs/>
          <w:color w:val="000000"/>
          <w:sz w:val="28"/>
          <w:szCs w:val="28"/>
          <w:lang w:val="en-US" w:eastAsia="zh-CN"/>
        </w:rPr>
        <w:t>水</w:t>
      </w:r>
      <w:r>
        <w:rPr>
          <w:rFonts w:hint="eastAsia" w:ascii="宋体" w:hAnsi="宋体" w:cs="宋体"/>
          <w:bCs/>
          <w:color w:val="000000"/>
          <w:sz w:val="28"/>
          <w:szCs w:val="28"/>
        </w:rPr>
        <w:t>泵房门口未设置挡水槛</w:t>
      </w:r>
      <w:r>
        <w:rPr>
          <w:rFonts w:hint="eastAsia" w:ascii="宋体" w:hAnsi="宋体" w:cs="宋体"/>
          <w:bCs/>
          <w:color w:val="000000"/>
          <w:sz w:val="28"/>
          <w:szCs w:val="28"/>
          <w:lang w:eastAsia="zh-CN"/>
        </w:rPr>
        <w:t>，不满足上述规范要求</w:t>
      </w:r>
      <w:r>
        <w:rPr>
          <w:rFonts w:hint="eastAsia" w:ascii="宋体" w:hAnsi="宋体" w:cs="宋体"/>
          <w:bCs/>
          <w:color w:val="000000"/>
          <w:sz w:val="28"/>
          <w:szCs w:val="28"/>
        </w:rPr>
        <w:t>。</w:t>
      </w:r>
    </w:p>
    <w:p w14:paraId="63475BEA">
      <w:pPr>
        <w:pageBreakBefore w:val="0"/>
        <w:kinsoku/>
        <w:wordWrap w:val="0"/>
        <w:topLinePunct w:val="0"/>
        <w:bidi w:val="0"/>
        <w:snapToGrid/>
        <w:ind w:firstLine="420" w:firstLineChars="200"/>
        <w:textAlignment w:val="auto"/>
        <w:rPr>
          <w:rFonts w:hint="eastAsia" w:ascii="宋体" w:hAnsi="宋体" w:cs="宋体"/>
          <w:bCs/>
          <w:color w:val="000000"/>
          <w:sz w:val="28"/>
          <w:szCs w:val="28"/>
        </w:rPr>
      </w:pPr>
      <w:r>
        <w:rPr>
          <w:rFonts w:hint="eastAsia" w:ascii="宋体" w:hAnsi="宋体" w:cs="宋体"/>
        </w:rPr>
        <w:drawing>
          <wp:inline distT="0" distB="0" distL="0" distR="0">
            <wp:extent cx="4810125" cy="3314700"/>
            <wp:effectExtent l="0" t="0" r="9525" b="0"/>
            <wp:docPr id="6"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1"/>
                    <pic:cNvPicPr>
                      <a:picLocks noChangeAspect="1"/>
                    </pic:cNvPicPr>
                  </pic:nvPicPr>
                  <pic:blipFill>
                    <a:blip r:embed="rId7"/>
                    <a:srcRect l="-1" r="1508" b="6951"/>
                    <a:stretch>
                      <a:fillRect/>
                    </a:stretch>
                  </pic:blipFill>
                  <pic:spPr>
                    <a:xfrm>
                      <a:off x="0" y="0"/>
                      <a:ext cx="4810125" cy="3314700"/>
                    </a:xfrm>
                    <a:prstGeom prst="rect">
                      <a:avLst/>
                    </a:prstGeom>
                    <a:noFill/>
                    <a:ln cap="flat" cmpd="sng">
                      <a:noFill/>
                      <a:prstDash val="solid"/>
                      <a:round/>
                    </a:ln>
                  </pic:spPr>
                </pic:pic>
              </a:graphicData>
            </a:graphic>
          </wp:inline>
        </w:drawing>
      </w:r>
    </w:p>
    <w:p w14:paraId="5EA1616B">
      <w:pPr>
        <w:pageBreakBefore w:val="0"/>
        <w:kinsoku/>
        <w:wordWrap w:val="0"/>
        <w:topLinePunct w:val="0"/>
        <w:bidi w:val="0"/>
        <w:snapToGrid/>
        <w:ind w:firstLine="560" w:firstLineChars="200"/>
        <w:textAlignment w:val="auto"/>
        <w:rPr>
          <w:rFonts w:hint="eastAsia" w:ascii="宋体" w:hAnsi="宋体" w:cs="宋体"/>
          <w:bCs/>
          <w:color w:val="000000"/>
          <w:sz w:val="28"/>
          <w:szCs w:val="28"/>
        </w:rPr>
      </w:pPr>
    </w:p>
    <w:p w14:paraId="386BAFEF">
      <w:pPr>
        <w:pageBreakBefore w:val="0"/>
        <w:kinsoku/>
        <w:wordWrap w:val="0"/>
        <w:topLinePunct w:val="0"/>
        <w:bidi w:val="0"/>
        <w:snapToGrid/>
        <w:ind w:firstLine="560" w:firstLineChars="200"/>
        <w:textAlignment w:val="auto"/>
        <w:rPr>
          <w:rFonts w:hint="eastAsia" w:ascii="宋体" w:hAnsi="宋体" w:cs="宋体"/>
          <w:bCs/>
          <w:color w:val="000000"/>
          <w:sz w:val="28"/>
          <w:szCs w:val="28"/>
        </w:rPr>
      </w:pPr>
      <w:r>
        <w:rPr>
          <w:rFonts w:hint="eastAsia" w:ascii="宋体" w:hAnsi="宋体" w:cs="宋体"/>
          <w:bCs/>
          <w:color w:val="000000"/>
          <w:sz w:val="28"/>
          <w:szCs w:val="28"/>
        </w:rPr>
        <w:t>1.0.5</w:t>
      </w:r>
      <w:r>
        <w:rPr>
          <w:rFonts w:hint="eastAsia" w:ascii="宋体" w:hAnsi="宋体" w:cs="宋体"/>
          <w:bCs/>
          <w:color w:val="000000"/>
          <w:sz w:val="28"/>
          <w:szCs w:val="28"/>
          <w:lang w:val="en-US" w:eastAsia="zh-CN"/>
        </w:rPr>
        <w:t xml:space="preserve"> </w:t>
      </w:r>
      <w:r>
        <w:rPr>
          <w:rFonts w:hint="eastAsia" w:ascii="宋体" w:hAnsi="宋体" w:cs="宋体"/>
          <w:bCs/>
          <w:color w:val="000000"/>
          <w:sz w:val="28"/>
          <w:szCs w:val="28"/>
        </w:rPr>
        <w:t>安全出口通道内人防门高度不满足疏散要求。</w:t>
      </w:r>
    </w:p>
    <w:p w14:paraId="3D6DAE3B">
      <w:pPr>
        <w:pageBreakBefore w:val="0"/>
        <w:kinsoku/>
        <w:wordWrap w:val="0"/>
        <w:topLinePunct w:val="0"/>
        <w:bidi w:val="0"/>
        <w:snapToGrid/>
        <w:ind w:firstLine="562" w:firstLineChars="200"/>
        <w:textAlignment w:val="auto"/>
        <w:rPr>
          <w:rFonts w:hint="eastAsia" w:ascii="宋体" w:hAnsi="宋体" w:cs="宋体"/>
          <w:bCs/>
          <w:color w:val="000000"/>
          <w:sz w:val="28"/>
          <w:szCs w:val="28"/>
        </w:rPr>
      </w:pPr>
      <w:r>
        <w:rPr>
          <w:rFonts w:hint="eastAsia" w:ascii="宋体" w:hAnsi="宋体" w:cs="宋体"/>
          <w:b/>
          <w:bCs/>
          <w:sz w:val="28"/>
          <w:szCs w:val="28"/>
        </w:rPr>
        <w:t>依据：</w:t>
      </w:r>
      <w:r>
        <w:rPr>
          <w:rFonts w:hint="eastAsia" w:ascii="宋体" w:hAnsi="宋体" w:cs="宋体"/>
          <w:bCs/>
          <w:color w:val="000000"/>
          <w:sz w:val="28"/>
          <w:szCs w:val="28"/>
        </w:rPr>
        <w:t>《建筑防火通用规范》（GB55037-2022）第7.1.5条</w:t>
      </w:r>
      <w:r>
        <w:rPr>
          <w:rFonts w:hint="eastAsia" w:ascii="宋体" w:hAnsi="宋体" w:cs="宋体"/>
          <w:bCs/>
          <w:color w:val="000000"/>
          <w:sz w:val="28"/>
          <w:szCs w:val="28"/>
          <w:lang w:eastAsia="zh-CN"/>
        </w:rPr>
        <w:t>，</w:t>
      </w:r>
      <w:r>
        <w:rPr>
          <w:rFonts w:hint="eastAsia" w:ascii="宋体" w:hAnsi="宋体" w:cs="宋体"/>
          <w:bCs/>
          <w:color w:val="000000"/>
          <w:sz w:val="28"/>
          <w:szCs w:val="28"/>
        </w:rPr>
        <w:t>在疏散通道、疏散走道、疏散出口处,不应有任何影响人员疏散的物体,并应在疏散通道、疏散走道、疏散出口的明显位置设置明显的指示标志。疏散通道疏散走道、疏散出口的净高度均不应小于2.1m。疏散走道在防火分区分隔处应设置疏散门。</w:t>
      </w:r>
    </w:p>
    <w:p w14:paraId="7A231A89">
      <w:pPr>
        <w:pageBreakBefore w:val="0"/>
        <w:kinsoku/>
        <w:wordWrap w:val="0"/>
        <w:topLinePunct w:val="0"/>
        <w:bidi w:val="0"/>
        <w:snapToGrid/>
        <w:ind w:firstLine="544" w:firstLineChars="200"/>
        <w:textAlignment w:val="auto"/>
        <w:rPr>
          <w:rFonts w:hint="eastAsia" w:ascii="宋体" w:hAnsi="宋体" w:cs="宋体"/>
          <w:bCs/>
          <w:color w:val="000000"/>
          <w:sz w:val="28"/>
          <w:szCs w:val="28"/>
        </w:rPr>
      </w:pPr>
      <w:r>
        <w:rPr>
          <w:rFonts w:hint="eastAsia" w:ascii="宋体" w:hAnsi="宋体" w:cs="宋体"/>
          <w:spacing w:val="-4"/>
          <w:sz w:val="28"/>
          <w:szCs w:val="28"/>
        </w:rPr>
        <w:t>案例：</w:t>
      </w:r>
      <w:r>
        <w:rPr>
          <w:rFonts w:hint="eastAsia" w:ascii="宋体" w:hAnsi="宋体" w:cs="宋体"/>
          <w:bCs/>
          <w:color w:val="000000"/>
          <w:sz w:val="28"/>
          <w:szCs w:val="28"/>
        </w:rPr>
        <w:t>某车站设备区安全出口通道内设置人防门GHFM1220，门净高小于2.1m</w:t>
      </w:r>
      <w:r>
        <w:rPr>
          <w:rFonts w:hint="eastAsia" w:ascii="宋体" w:hAnsi="宋体" w:cs="宋体"/>
          <w:color w:val="000000"/>
          <w:sz w:val="28"/>
          <w:lang w:eastAsia="zh-CN"/>
        </w:rPr>
        <w:t>，不满足上述规范要求</w:t>
      </w:r>
      <w:r>
        <w:rPr>
          <w:rFonts w:hint="eastAsia" w:ascii="宋体" w:hAnsi="宋体" w:cs="宋体"/>
          <w:bCs/>
          <w:color w:val="000000"/>
          <w:sz w:val="28"/>
          <w:szCs w:val="28"/>
        </w:rPr>
        <w:t>。</w:t>
      </w:r>
    </w:p>
    <w:p w14:paraId="68D415E7">
      <w:pPr>
        <w:pageBreakBefore w:val="0"/>
        <w:kinsoku/>
        <w:wordWrap w:val="0"/>
        <w:topLinePunct w:val="0"/>
        <w:bidi w:val="0"/>
        <w:snapToGrid/>
        <w:ind w:firstLine="560" w:firstLineChars="200"/>
        <w:textAlignment w:val="auto"/>
        <w:rPr>
          <w:rFonts w:hint="eastAsia" w:ascii="宋体" w:hAnsi="宋体" w:cs="宋体"/>
          <w:bCs/>
          <w:color w:val="000000"/>
          <w:sz w:val="28"/>
          <w:szCs w:val="28"/>
        </w:rPr>
      </w:pPr>
    </w:p>
    <w:p w14:paraId="640A0BCD">
      <w:pPr>
        <w:pageBreakBefore w:val="0"/>
        <w:kinsoku/>
        <w:wordWrap w:val="0"/>
        <w:topLinePunct w:val="0"/>
        <w:bidi w:val="0"/>
        <w:snapToGrid/>
        <w:ind w:firstLine="560" w:firstLineChars="200"/>
        <w:textAlignment w:val="auto"/>
        <w:rPr>
          <w:rFonts w:hint="eastAsia" w:ascii="宋体" w:hAnsi="宋体" w:cs="宋体"/>
          <w:bCs/>
          <w:color w:val="000000"/>
          <w:sz w:val="28"/>
          <w:szCs w:val="28"/>
        </w:rPr>
      </w:pPr>
      <w:r>
        <w:rPr>
          <w:rFonts w:hint="eastAsia" w:ascii="宋体" w:hAnsi="宋体" w:cs="宋体"/>
          <w:bCs/>
          <w:color w:val="000000"/>
          <w:sz w:val="28"/>
          <w:szCs w:val="28"/>
        </w:rPr>
        <w:t>1.0.6</w:t>
      </w:r>
      <w:r>
        <w:rPr>
          <w:rFonts w:hint="eastAsia" w:ascii="宋体" w:hAnsi="宋体" w:cs="宋体"/>
          <w:bCs/>
          <w:color w:val="000000"/>
          <w:sz w:val="28"/>
          <w:szCs w:val="28"/>
          <w:lang w:val="en-US" w:eastAsia="zh-CN"/>
        </w:rPr>
        <w:t xml:space="preserve"> </w:t>
      </w:r>
      <w:r>
        <w:rPr>
          <w:rFonts w:hint="eastAsia" w:ascii="宋体" w:hAnsi="宋体" w:cs="宋体"/>
          <w:bCs/>
          <w:color w:val="000000"/>
          <w:sz w:val="28"/>
          <w:szCs w:val="28"/>
        </w:rPr>
        <w:t>地下车站部分设备用房未表达防火隔墙的设计，不满足其它专业设计需求及规范要求。</w:t>
      </w:r>
    </w:p>
    <w:p w14:paraId="78455A92">
      <w:pPr>
        <w:pageBreakBefore w:val="0"/>
        <w:kinsoku/>
        <w:wordWrap w:val="0"/>
        <w:topLinePunct w:val="0"/>
        <w:bidi w:val="0"/>
        <w:snapToGrid/>
        <w:ind w:firstLine="562" w:firstLineChars="200"/>
        <w:textAlignment w:val="auto"/>
        <w:rPr>
          <w:rFonts w:hint="eastAsia" w:ascii="宋体" w:hAnsi="宋体" w:eastAsia="宋体" w:cs="宋体"/>
          <w:b/>
          <w:bCs/>
          <w:sz w:val="28"/>
          <w:szCs w:val="28"/>
          <w:lang w:eastAsia="zh-CN"/>
        </w:rPr>
      </w:pPr>
      <w:r>
        <w:rPr>
          <w:rFonts w:hint="eastAsia" w:ascii="宋体" w:hAnsi="宋体" w:cs="宋体"/>
          <w:b/>
          <w:bCs/>
          <w:sz w:val="28"/>
          <w:szCs w:val="28"/>
        </w:rPr>
        <w:t>依据：</w:t>
      </w:r>
      <w:r>
        <w:rPr>
          <w:rFonts w:hint="eastAsia" w:ascii="宋体" w:hAnsi="宋体" w:cs="宋体"/>
          <w:bCs/>
          <w:color w:val="000000"/>
          <w:sz w:val="28"/>
          <w:szCs w:val="28"/>
        </w:rPr>
        <w:t>《建筑防火通用规范》（GB55037-2022）第4.4.3条</w:t>
      </w:r>
      <w:r>
        <w:rPr>
          <w:rFonts w:hint="eastAsia" w:ascii="宋体" w:hAnsi="宋体" w:cs="宋体"/>
          <w:bCs/>
          <w:color w:val="000000"/>
          <w:sz w:val="28"/>
          <w:szCs w:val="28"/>
          <w:lang w:eastAsia="zh-CN"/>
        </w:rPr>
        <w:t>，</w:t>
      </w:r>
      <w:r>
        <w:rPr>
          <w:rFonts w:hint="eastAsia" w:ascii="宋体" w:hAnsi="宋体" w:cs="宋体"/>
          <w:bCs/>
          <w:color w:val="000000"/>
          <w:sz w:val="28"/>
          <w:szCs w:val="28"/>
        </w:rPr>
        <w:t>地铁工程中的下列场所应分别独立设置,并应采用防火门</w:t>
      </w:r>
      <w:r>
        <w:rPr>
          <w:rFonts w:hint="eastAsia" w:ascii="宋体" w:hAnsi="宋体" w:cs="宋体"/>
          <w:bCs/>
          <w:color w:val="000000"/>
          <w:sz w:val="28"/>
          <w:szCs w:val="28"/>
          <w:lang w:eastAsia="zh-CN"/>
        </w:rPr>
        <w:t>（</w:t>
      </w:r>
      <w:r>
        <w:rPr>
          <w:rFonts w:hint="eastAsia" w:ascii="宋体" w:hAnsi="宋体" w:cs="宋体"/>
          <w:bCs/>
          <w:color w:val="000000"/>
          <w:sz w:val="28"/>
          <w:szCs w:val="28"/>
        </w:rPr>
        <w:t>窗</w:t>
      </w:r>
      <w:r>
        <w:rPr>
          <w:rFonts w:hint="eastAsia" w:ascii="宋体" w:hAnsi="宋体" w:cs="宋体"/>
          <w:bCs/>
          <w:color w:val="000000"/>
          <w:sz w:val="28"/>
          <w:szCs w:val="28"/>
          <w:lang w:eastAsia="zh-CN"/>
        </w:rPr>
        <w:t>）</w:t>
      </w:r>
      <w:r>
        <w:rPr>
          <w:rFonts w:hint="eastAsia" w:ascii="宋体" w:hAnsi="宋体" w:cs="宋体"/>
          <w:bCs/>
          <w:color w:val="000000"/>
          <w:sz w:val="28"/>
          <w:szCs w:val="28"/>
        </w:rPr>
        <w:t>、</w:t>
      </w:r>
      <w:r>
        <w:rPr>
          <w:rFonts w:hint="eastAsia" w:ascii="宋体" w:hAnsi="宋体" w:cs="宋体"/>
          <w:bCs/>
          <w:sz w:val="28"/>
          <w:szCs w:val="28"/>
        </w:rPr>
        <w:t>耐火极限不低于2.00h的防火隔墙和耐火极限不低于1.50h的楼板与其他部</w:t>
      </w:r>
      <w:r>
        <w:rPr>
          <w:rFonts w:hint="eastAsia" w:ascii="宋体" w:hAnsi="宋体" w:cs="宋体"/>
          <w:bCs/>
          <w:color w:val="000000"/>
          <w:sz w:val="28"/>
          <w:szCs w:val="28"/>
        </w:rPr>
        <w:t>位分隔</w:t>
      </w:r>
      <w:r>
        <w:rPr>
          <w:rFonts w:hint="eastAsia" w:ascii="宋体" w:hAnsi="宋体" w:cs="宋体"/>
          <w:bCs/>
          <w:color w:val="000000"/>
          <w:sz w:val="28"/>
          <w:szCs w:val="28"/>
          <w:lang w:eastAsia="zh-CN"/>
        </w:rPr>
        <w:t>：</w:t>
      </w:r>
    </w:p>
    <w:p w14:paraId="580F4398">
      <w:pPr>
        <w:pageBreakBefore w:val="0"/>
        <w:kinsoku/>
        <w:wordWrap w:val="0"/>
        <w:topLinePunct w:val="0"/>
        <w:bidi w:val="0"/>
        <w:snapToGrid/>
        <w:ind w:firstLine="560" w:firstLineChars="200"/>
        <w:textAlignment w:val="auto"/>
        <w:rPr>
          <w:rFonts w:hint="eastAsia" w:ascii="宋体" w:hAnsi="宋体" w:cs="宋体"/>
          <w:bCs/>
          <w:color w:val="000000"/>
          <w:sz w:val="28"/>
          <w:szCs w:val="28"/>
        </w:rPr>
      </w:pPr>
      <w:r>
        <w:rPr>
          <w:rFonts w:hint="eastAsia" w:ascii="宋体" w:hAnsi="宋体" w:cs="宋体"/>
          <w:bCs/>
          <w:color w:val="000000"/>
          <w:sz w:val="28"/>
          <w:szCs w:val="28"/>
        </w:rPr>
        <w:t>1车站控制室</w:t>
      </w:r>
      <w:r>
        <w:rPr>
          <w:rFonts w:hint="eastAsia" w:ascii="宋体" w:hAnsi="宋体" w:cs="宋体"/>
          <w:bCs/>
          <w:color w:val="000000"/>
          <w:sz w:val="28"/>
          <w:szCs w:val="28"/>
          <w:lang w:eastAsia="zh-CN"/>
        </w:rPr>
        <w:t>（</w:t>
      </w:r>
      <w:r>
        <w:rPr>
          <w:rFonts w:hint="eastAsia" w:ascii="宋体" w:hAnsi="宋体" w:cs="宋体"/>
          <w:bCs/>
          <w:color w:val="000000"/>
          <w:sz w:val="28"/>
          <w:szCs w:val="28"/>
        </w:rPr>
        <w:t>含防灾报警设备室</w:t>
      </w:r>
      <w:r>
        <w:rPr>
          <w:rFonts w:hint="eastAsia" w:ascii="宋体" w:hAnsi="宋体" w:cs="宋体"/>
          <w:bCs/>
          <w:color w:val="000000"/>
          <w:sz w:val="28"/>
          <w:szCs w:val="28"/>
          <w:lang w:eastAsia="zh-CN"/>
        </w:rPr>
        <w:t>）</w:t>
      </w:r>
      <w:r>
        <w:rPr>
          <w:rFonts w:hint="eastAsia" w:ascii="宋体" w:hAnsi="宋体" w:cs="宋体"/>
          <w:bCs/>
          <w:color w:val="000000"/>
          <w:sz w:val="28"/>
          <w:szCs w:val="28"/>
        </w:rPr>
        <w:t>、车辆基地控制室</w:t>
      </w:r>
      <w:r>
        <w:rPr>
          <w:rFonts w:hint="eastAsia" w:ascii="宋体" w:hAnsi="宋体" w:cs="宋体"/>
          <w:bCs/>
          <w:color w:val="000000"/>
          <w:sz w:val="28"/>
          <w:szCs w:val="28"/>
          <w:lang w:eastAsia="zh-CN"/>
        </w:rPr>
        <w:t>（</w:t>
      </w:r>
      <w:r>
        <w:rPr>
          <w:rFonts w:hint="eastAsia" w:ascii="宋体" w:hAnsi="宋体" w:cs="宋体"/>
          <w:bCs/>
          <w:color w:val="000000"/>
          <w:sz w:val="28"/>
          <w:szCs w:val="28"/>
        </w:rPr>
        <w:t>含防灾报警设备室</w:t>
      </w:r>
      <w:r>
        <w:rPr>
          <w:rFonts w:hint="eastAsia" w:ascii="宋体" w:hAnsi="宋体" w:cs="宋体"/>
          <w:bCs/>
          <w:color w:val="000000"/>
          <w:sz w:val="28"/>
          <w:szCs w:val="28"/>
          <w:lang w:eastAsia="zh-CN"/>
        </w:rPr>
        <w:t>）</w:t>
      </w:r>
      <w:r>
        <w:rPr>
          <w:rFonts w:hint="eastAsia" w:ascii="宋体" w:hAnsi="宋体" w:cs="宋体"/>
          <w:bCs/>
          <w:color w:val="000000"/>
          <w:sz w:val="28"/>
          <w:szCs w:val="28"/>
        </w:rPr>
        <w:t>、环控电控室、站台门控制室；</w:t>
      </w:r>
    </w:p>
    <w:p w14:paraId="4A35CE34">
      <w:pPr>
        <w:pageBreakBefore w:val="0"/>
        <w:kinsoku/>
        <w:wordWrap w:val="0"/>
        <w:topLinePunct w:val="0"/>
        <w:bidi w:val="0"/>
        <w:snapToGrid/>
        <w:ind w:firstLine="560" w:firstLineChars="200"/>
        <w:textAlignment w:val="auto"/>
        <w:rPr>
          <w:rFonts w:hint="eastAsia" w:ascii="宋体" w:hAnsi="宋体" w:cs="宋体"/>
          <w:bCs/>
          <w:color w:val="000000"/>
          <w:sz w:val="28"/>
          <w:szCs w:val="28"/>
        </w:rPr>
      </w:pPr>
      <w:r>
        <w:rPr>
          <w:rFonts w:hint="eastAsia" w:ascii="宋体" w:hAnsi="宋体" w:cs="宋体"/>
          <w:bCs/>
          <w:color w:val="000000"/>
          <w:sz w:val="28"/>
          <w:szCs w:val="28"/>
        </w:rPr>
        <w:t>2变电站、配电室、通信及信号机房；</w:t>
      </w:r>
    </w:p>
    <w:p w14:paraId="47A21264">
      <w:pPr>
        <w:pageBreakBefore w:val="0"/>
        <w:kinsoku/>
        <w:wordWrap w:val="0"/>
        <w:topLinePunct w:val="0"/>
        <w:bidi w:val="0"/>
        <w:snapToGrid/>
        <w:ind w:firstLine="560" w:firstLineChars="200"/>
        <w:textAlignment w:val="auto"/>
        <w:rPr>
          <w:rFonts w:hint="eastAsia" w:ascii="宋体" w:hAnsi="宋体" w:cs="宋体"/>
          <w:bCs/>
          <w:color w:val="000000"/>
          <w:sz w:val="28"/>
          <w:szCs w:val="28"/>
        </w:rPr>
      </w:pPr>
      <w:r>
        <w:rPr>
          <w:rFonts w:hint="eastAsia" w:ascii="宋体" w:hAnsi="宋体" w:cs="宋体"/>
          <w:bCs/>
          <w:color w:val="000000"/>
          <w:sz w:val="28"/>
          <w:szCs w:val="28"/>
        </w:rPr>
        <w:t>3固定灭火装置设备室、消防水泵房；</w:t>
      </w:r>
    </w:p>
    <w:p w14:paraId="1D7D680F">
      <w:pPr>
        <w:pageBreakBefore w:val="0"/>
        <w:kinsoku/>
        <w:wordWrap w:val="0"/>
        <w:topLinePunct w:val="0"/>
        <w:bidi w:val="0"/>
        <w:snapToGrid/>
        <w:ind w:firstLine="560" w:firstLineChars="200"/>
        <w:textAlignment w:val="auto"/>
        <w:rPr>
          <w:rFonts w:hint="eastAsia" w:ascii="宋体" w:hAnsi="宋体" w:cs="宋体"/>
          <w:bCs/>
          <w:color w:val="000000"/>
          <w:sz w:val="28"/>
          <w:szCs w:val="28"/>
        </w:rPr>
      </w:pPr>
      <w:r>
        <w:rPr>
          <w:rFonts w:hint="eastAsia" w:ascii="宋体" w:hAnsi="宋体" w:cs="宋体"/>
          <w:bCs/>
          <w:color w:val="000000"/>
          <w:sz w:val="28"/>
          <w:szCs w:val="28"/>
        </w:rPr>
        <w:t>4废水泵房、通风机房﹑蓄电池室；</w:t>
      </w:r>
    </w:p>
    <w:p w14:paraId="2AEE02E2">
      <w:pPr>
        <w:pageBreakBefore w:val="0"/>
        <w:kinsoku/>
        <w:wordWrap w:val="0"/>
        <w:topLinePunct w:val="0"/>
        <w:bidi w:val="0"/>
        <w:snapToGrid/>
        <w:ind w:firstLine="560" w:firstLineChars="200"/>
        <w:textAlignment w:val="auto"/>
        <w:rPr>
          <w:rFonts w:hint="eastAsia" w:ascii="宋体" w:hAnsi="宋体" w:cs="宋体"/>
          <w:bCs/>
          <w:color w:val="000000"/>
          <w:sz w:val="28"/>
          <w:szCs w:val="28"/>
        </w:rPr>
      </w:pPr>
      <w:r>
        <w:rPr>
          <w:rFonts w:hint="eastAsia" w:ascii="宋体" w:hAnsi="宋体" w:cs="宋体"/>
          <w:bCs/>
          <w:color w:val="000000"/>
          <w:sz w:val="28"/>
          <w:szCs w:val="28"/>
        </w:rPr>
        <w:t>5车站和车辆基地内火灾时需继续运行的其他房间。</w:t>
      </w:r>
    </w:p>
    <w:p w14:paraId="036C8070">
      <w:pPr>
        <w:pageBreakBefore w:val="0"/>
        <w:kinsoku/>
        <w:wordWrap w:val="0"/>
        <w:topLinePunct w:val="0"/>
        <w:bidi w:val="0"/>
        <w:snapToGrid/>
        <w:ind w:firstLine="544" w:firstLineChars="200"/>
        <w:textAlignment w:val="auto"/>
        <w:rPr>
          <w:rFonts w:hint="eastAsia" w:ascii="宋体" w:hAnsi="宋体" w:cs="宋体"/>
          <w:bCs/>
          <w:color w:val="000000"/>
          <w:sz w:val="28"/>
          <w:szCs w:val="28"/>
        </w:rPr>
      </w:pPr>
      <w:r>
        <w:rPr>
          <w:rFonts w:hint="eastAsia" w:ascii="宋体" w:hAnsi="宋体" w:cs="宋体"/>
          <w:spacing w:val="-4"/>
          <w:sz w:val="28"/>
          <w:szCs w:val="28"/>
        </w:rPr>
        <w:t>案例：</w:t>
      </w:r>
      <w:r>
        <w:rPr>
          <w:rFonts w:hint="eastAsia" w:ascii="宋体" w:hAnsi="宋体" w:cs="宋体"/>
          <w:bCs/>
          <w:color w:val="000000"/>
          <w:sz w:val="28"/>
          <w:szCs w:val="28"/>
        </w:rPr>
        <w:t>某车站设计中上述房间隔墙未用图例表达防火隔墙，导致在环控专业设计中遗漏防火阀以及防火封堵。</w:t>
      </w:r>
    </w:p>
    <w:p w14:paraId="40DEA9AF">
      <w:pPr>
        <w:pageBreakBefore w:val="0"/>
        <w:kinsoku/>
        <w:wordWrap w:val="0"/>
        <w:topLinePunct w:val="0"/>
        <w:bidi w:val="0"/>
        <w:snapToGrid/>
        <w:ind w:firstLine="544" w:firstLineChars="200"/>
        <w:textAlignment w:val="auto"/>
        <w:rPr>
          <w:rFonts w:hint="eastAsia" w:ascii="宋体" w:hAnsi="宋体" w:cs="宋体"/>
          <w:spacing w:val="-4"/>
          <w:sz w:val="28"/>
          <w:szCs w:val="28"/>
        </w:rPr>
      </w:pPr>
    </w:p>
    <w:p w14:paraId="3397C6C7">
      <w:pPr>
        <w:pageBreakBefore w:val="0"/>
        <w:kinsoku/>
        <w:wordWrap w:val="0"/>
        <w:topLinePunct w:val="0"/>
        <w:bidi w:val="0"/>
        <w:snapToGrid/>
        <w:ind w:firstLine="544" w:firstLineChars="200"/>
        <w:textAlignment w:val="auto"/>
        <w:rPr>
          <w:rFonts w:hint="eastAsia" w:ascii="宋体" w:hAnsi="宋体" w:cs="宋体"/>
          <w:spacing w:val="-4"/>
          <w:sz w:val="28"/>
          <w:szCs w:val="28"/>
        </w:rPr>
      </w:pPr>
      <w:r>
        <w:rPr>
          <w:rFonts w:hint="eastAsia" w:ascii="宋体" w:hAnsi="宋体" w:cs="宋体"/>
          <w:spacing w:val="-4"/>
          <w:sz w:val="28"/>
          <w:szCs w:val="28"/>
        </w:rPr>
        <w:t>1.0.7</w:t>
      </w:r>
      <w:r>
        <w:rPr>
          <w:rFonts w:hint="eastAsia" w:ascii="宋体" w:hAnsi="宋体" w:cs="宋体"/>
          <w:spacing w:val="-4"/>
          <w:sz w:val="28"/>
          <w:szCs w:val="28"/>
          <w:lang w:val="en-US" w:eastAsia="zh-CN"/>
        </w:rPr>
        <w:t xml:space="preserve"> </w:t>
      </w:r>
      <w:r>
        <w:rPr>
          <w:rFonts w:hint="eastAsia" w:ascii="宋体" w:hAnsi="宋体" w:cs="宋体"/>
          <w:sz w:val="28"/>
          <w:szCs w:val="28"/>
        </w:rPr>
        <w:t>疏散楼梯间前室内的普通电梯，</w:t>
      </w:r>
      <w:r>
        <w:rPr>
          <w:rFonts w:hint="eastAsia" w:ascii="宋体" w:hAnsi="宋体" w:cs="宋体"/>
          <w:spacing w:val="-4"/>
          <w:sz w:val="28"/>
          <w:szCs w:val="28"/>
        </w:rPr>
        <w:t>未按照消防电梯的防火性能进行设计。</w:t>
      </w:r>
    </w:p>
    <w:p w14:paraId="1AB94428">
      <w:pPr>
        <w:pageBreakBefore w:val="0"/>
        <w:widowControl/>
        <w:kinsoku/>
        <w:wordWrap w:val="0"/>
        <w:topLinePunct w:val="0"/>
        <w:bidi w:val="0"/>
        <w:snapToGrid/>
        <w:ind w:firstLine="562" w:firstLineChars="200"/>
        <w:jc w:val="left"/>
        <w:textAlignment w:val="auto"/>
        <w:rPr>
          <w:rFonts w:hint="eastAsia" w:ascii="宋体" w:hAnsi="宋体" w:cs="宋体"/>
          <w:sz w:val="28"/>
          <w:szCs w:val="28"/>
        </w:rPr>
      </w:pPr>
      <w:r>
        <w:rPr>
          <w:rFonts w:hint="eastAsia" w:ascii="宋体" w:hAnsi="宋体" w:cs="宋体"/>
          <w:b/>
          <w:bCs/>
          <w:sz w:val="28"/>
          <w:szCs w:val="28"/>
        </w:rPr>
        <w:t>依据：</w:t>
      </w:r>
      <w:r>
        <w:rPr>
          <w:rFonts w:hint="eastAsia" w:ascii="宋体" w:hAnsi="宋体" w:cs="宋体"/>
          <w:sz w:val="28"/>
          <w:szCs w:val="28"/>
        </w:rPr>
        <w:t>《建筑防火通用规范》</w:t>
      </w:r>
      <w:r>
        <w:rPr>
          <w:rFonts w:hint="eastAsia" w:ascii="宋体" w:hAnsi="宋体" w:cs="宋体"/>
          <w:bCs/>
          <w:color w:val="000000"/>
          <w:sz w:val="28"/>
          <w:szCs w:val="28"/>
        </w:rPr>
        <w:t>（GB55037-2022）</w:t>
      </w:r>
      <w:r>
        <w:rPr>
          <w:rFonts w:hint="eastAsia" w:ascii="宋体" w:hAnsi="宋体" w:cs="宋体"/>
          <w:sz w:val="28"/>
          <w:szCs w:val="28"/>
        </w:rPr>
        <w:t>第7.1.13条</w:t>
      </w:r>
      <w:r>
        <w:rPr>
          <w:rFonts w:hint="eastAsia" w:ascii="宋体" w:hAnsi="宋体" w:cs="宋体"/>
          <w:sz w:val="28"/>
          <w:szCs w:val="28"/>
          <w:lang w:eastAsia="zh-CN"/>
        </w:rPr>
        <w:t>，</w:t>
      </w:r>
      <w:r>
        <w:rPr>
          <w:rFonts w:hint="eastAsia" w:ascii="宋体" w:hAnsi="宋体" w:cs="宋体"/>
          <w:sz w:val="28"/>
          <w:szCs w:val="28"/>
        </w:rPr>
        <w:t>设置在消防电梯或疏散楼梯间前室内的非消防电梯，防火性能不应低于消防电梯的防火性能。</w:t>
      </w:r>
    </w:p>
    <w:p w14:paraId="05A8F83A">
      <w:pPr>
        <w:pageBreakBefore w:val="0"/>
        <w:widowControl/>
        <w:kinsoku/>
        <w:wordWrap w:val="0"/>
        <w:topLinePunct w:val="0"/>
        <w:bidi w:val="0"/>
        <w:snapToGrid/>
        <w:ind w:firstLine="544" w:firstLineChars="200"/>
        <w:jc w:val="left"/>
        <w:textAlignment w:val="auto"/>
        <w:rPr>
          <w:rFonts w:hint="eastAsia" w:ascii="宋体" w:hAnsi="宋体" w:cs="宋体"/>
        </w:rPr>
      </w:pPr>
      <w:r>
        <w:rPr>
          <w:rFonts w:hint="eastAsia" w:ascii="宋体" w:hAnsi="宋体" w:cs="宋体"/>
          <w:spacing w:val="-4"/>
          <w:sz w:val="28"/>
          <w:szCs w:val="28"/>
        </w:rPr>
        <w:t>案例：</w:t>
      </w:r>
      <w:r>
        <w:rPr>
          <w:rFonts w:hint="eastAsia" w:ascii="宋体" w:hAnsi="宋体" w:cs="宋体"/>
          <w:sz w:val="28"/>
          <w:szCs w:val="28"/>
        </w:rPr>
        <w:t>某车站的普通电梯设置在防烟楼梯前室内，但并未明确电梯的防火性能。</w:t>
      </w:r>
    </w:p>
    <w:p w14:paraId="226311FB">
      <w:pPr>
        <w:pageBreakBefore w:val="0"/>
        <w:widowControl/>
        <w:kinsoku/>
        <w:wordWrap w:val="0"/>
        <w:topLinePunct w:val="0"/>
        <w:bidi w:val="0"/>
        <w:snapToGrid/>
        <w:ind w:firstLine="420" w:firstLineChars="200"/>
        <w:jc w:val="center"/>
        <w:textAlignment w:val="auto"/>
        <w:rPr>
          <w:rFonts w:hint="eastAsia" w:ascii="宋体" w:hAnsi="宋体" w:cs="宋体"/>
        </w:rPr>
      </w:pPr>
      <w:r>
        <w:rPr>
          <w:rFonts w:hint="eastAsia" w:ascii="宋体" w:hAnsi="宋体" w:cs="宋体"/>
        </w:rPr>
        <w:drawing>
          <wp:inline distT="0" distB="0" distL="0" distR="0">
            <wp:extent cx="5271770" cy="3017520"/>
            <wp:effectExtent l="0" t="0" r="5080" b="11430"/>
            <wp:docPr id="7"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1"/>
                    <pic:cNvPicPr>
                      <a:picLocks noChangeAspect="1"/>
                    </pic:cNvPicPr>
                  </pic:nvPicPr>
                  <pic:blipFill>
                    <a:blip r:embed="rId8"/>
                    <a:stretch>
                      <a:fillRect/>
                    </a:stretch>
                  </pic:blipFill>
                  <pic:spPr>
                    <a:xfrm>
                      <a:off x="0" y="0"/>
                      <a:ext cx="5271770" cy="3017520"/>
                    </a:xfrm>
                    <a:prstGeom prst="rect">
                      <a:avLst/>
                    </a:prstGeom>
                    <a:noFill/>
                    <a:ln w="9525" cap="flat" cmpd="sng">
                      <a:noFill/>
                      <a:prstDash val="solid"/>
                      <a:miter/>
                    </a:ln>
                  </pic:spPr>
                </pic:pic>
              </a:graphicData>
            </a:graphic>
          </wp:inline>
        </w:drawing>
      </w:r>
    </w:p>
    <w:p w14:paraId="2355520A">
      <w:pPr>
        <w:pageBreakBefore w:val="0"/>
        <w:kinsoku/>
        <w:wordWrap w:val="0"/>
        <w:topLinePunct w:val="0"/>
        <w:bidi w:val="0"/>
        <w:snapToGrid/>
        <w:ind w:firstLine="544" w:firstLineChars="200"/>
        <w:textAlignment w:val="auto"/>
        <w:rPr>
          <w:rFonts w:hint="eastAsia" w:ascii="宋体" w:hAnsi="宋体" w:cs="宋体"/>
          <w:spacing w:val="-4"/>
          <w:sz w:val="28"/>
          <w:szCs w:val="28"/>
        </w:rPr>
      </w:pPr>
    </w:p>
    <w:p w14:paraId="6075B6E8">
      <w:pPr>
        <w:pageBreakBefore w:val="0"/>
        <w:kinsoku/>
        <w:wordWrap w:val="0"/>
        <w:topLinePunct w:val="0"/>
        <w:bidi w:val="0"/>
        <w:snapToGrid/>
        <w:ind w:firstLine="544" w:firstLineChars="200"/>
        <w:textAlignment w:val="auto"/>
        <w:rPr>
          <w:rFonts w:hint="eastAsia" w:ascii="宋体" w:hAnsi="宋体" w:cs="宋体"/>
          <w:spacing w:val="-4"/>
          <w:sz w:val="28"/>
          <w:szCs w:val="28"/>
        </w:rPr>
      </w:pPr>
      <w:r>
        <w:rPr>
          <w:rFonts w:hint="eastAsia" w:ascii="宋体" w:hAnsi="宋体" w:cs="宋体"/>
          <w:spacing w:val="-4"/>
          <w:sz w:val="28"/>
          <w:szCs w:val="28"/>
        </w:rPr>
        <w:t>1.0.8</w:t>
      </w:r>
      <w:r>
        <w:rPr>
          <w:rFonts w:hint="eastAsia" w:ascii="宋体" w:hAnsi="宋体" w:cs="宋体"/>
          <w:spacing w:val="-4"/>
          <w:sz w:val="28"/>
          <w:szCs w:val="28"/>
          <w:lang w:val="en-US" w:eastAsia="zh-CN"/>
        </w:rPr>
        <w:t xml:space="preserve"> </w:t>
      </w:r>
      <w:r>
        <w:rPr>
          <w:rFonts w:hint="eastAsia" w:ascii="宋体" w:hAnsi="宋体" w:cs="宋体"/>
          <w:spacing w:val="-4"/>
          <w:sz w:val="28"/>
          <w:szCs w:val="28"/>
        </w:rPr>
        <w:t>车站公共区楼梯踏步高度超过规范要求。</w:t>
      </w:r>
    </w:p>
    <w:p w14:paraId="31B96CB0">
      <w:pPr>
        <w:pageBreakBefore w:val="0"/>
        <w:widowControl/>
        <w:kinsoku/>
        <w:wordWrap w:val="0"/>
        <w:topLinePunct w:val="0"/>
        <w:bidi w:val="0"/>
        <w:snapToGrid/>
        <w:ind w:firstLine="562" w:firstLineChars="200"/>
        <w:jc w:val="left"/>
        <w:textAlignment w:val="auto"/>
        <w:rPr>
          <w:rFonts w:hint="eastAsia" w:ascii="宋体" w:hAnsi="宋体" w:cs="宋体"/>
          <w:sz w:val="28"/>
          <w:szCs w:val="28"/>
        </w:rPr>
      </w:pPr>
      <w:r>
        <w:rPr>
          <w:rFonts w:hint="eastAsia" w:ascii="宋体" w:hAnsi="宋体" w:cs="宋体"/>
          <w:b/>
          <w:bCs/>
          <w:sz w:val="28"/>
          <w:szCs w:val="28"/>
        </w:rPr>
        <w:t>依据：</w:t>
      </w:r>
      <w:r>
        <w:rPr>
          <w:rFonts w:hint="eastAsia" w:ascii="宋体" w:hAnsi="宋体" w:cs="宋体"/>
          <w:sz w:val="28"/>
          <w:szCs w:val="28"/>
        </w:rPr>
        <w:t>《民用建筑通用规范》</w:t>
      </w:r>
      <w:r>
        <w:rPr>
          <w:rFonts w:hint="eastAsia" w:ascii="宋体" w:hAnsi="宋体" w:cs="宋体"/>
          <w:sz w:val="28"/>
          <w:szCs w:val="28"/>
          <w:lang w:eastAsia="zh-CN"/>
        </w:rPr>
        <w:t>（</w:t>
      </w:r>
      <w:r>
        <w:rPr>
          <w:rFonts w:hint="eastAsia" w:ascii="宋体" w:hAnsi="宋体" w:cs="宋体"/>
          <w:sz w:val="28"/>
          <w:szCs w:val="28"/>
        </w:rPr>
        <w:t>GB55031-2022</w:t>
      </w:r>
      <w:r>
        <w:rPr>
          <w:rFonts w:hint="eastAsia" w:ascii="宋体" w:hAnsi="宋体" w:cs="宋体"/>
          <w:sz w:val="28"/>
          <w:szCs w:val="28"/>
          <w:lang w:eastAsia="zh-CN"/>
        </w:rPr>
        <w:t>）</w:t>
      </w:r>
      <w:r>
        <w:rPr>
          <w:rFonts w:hint="eastAsia" w:ascii="宋体" w:hAnsi="宋体" w:cs="宋体"/>
          <w:sz w:val="28"/>
          <w:szCs w:val="28"/>
        </w:rPr>
        <w:t>表5.3.9</w:t>
      </w:r>
      <w:r>
        <w:rPr>
          <w:rFonts w:hint="eastAsia" w:ascii="宋体" w:hAnsi="宋体" w:cs="宋体"/>
          <w:sz w:val="28"/>
          <w:szCs w:val="28"/>
          <w:lang w:eastAsia="zh-CN"/>
        </w:rPr>
        <w:t>，</w:t>
      </w:r>
      <w:r>
        <w:rPr>
          <w:rFonts w:hint="eastAsia" w:ascii="宋体" w:hAnsi="宋体" w:cs="宋体"/>
          <w:sz w:val="28"/>
          <w:szCs w:val="28"/>
        </w:rPr>
        <w:t>楼梯踏步最小宽度和最大高度：以楼梯作为主要垂直交通</w:t>
      </w:r>
      <w:r>
        <w:rPr>
          <w:rFonts w:hint="eastAsia" w:ascii="宋体" w:hAnsi="宋体" w:cs="宋体"/>
          <w:sz w:val="28"/>
          <w:szCs w:val="28"/>
          <w:lang w:val="en-US" w:eastAsia="zh-CN"/>
        </w:rPr>
        <w:t>的</w:t>
      </w:r>
      <w:r>
        <w:rPr>
          <w:rFonts w:hint="eastAsia" w:ascii="宋体" w:hAnsi="宋体" w:cs="宋体"/>
          <w:sz w:val="28"/>
          <w:szCs w:val="28"/>
        </w:rPr>
        <w:t>公共建筑、非住宅类居住建筑的楼梯最小宽度0.26m，最大高度为0.165m。</w:t>
      </w:r>
    </w:p>
    <w:p w14:paraId="21EFEEFA">
      <w:pPr>
        <w:pageBreakBefore w:val="0"/>
        <w:widowControl/>
        <w:kinsoku/>
        <w:wordWrap w:val="0"/>
        <w:topLinePunct w:val="0"/>
        <w:bidi w:val="0"/>
        <w:snapToGrid/>
        <w:ind w:firstLine="544" w:firstLineChars="200"/>
        <w:jc w:val="left"/>
        <w:textAlignment w:val="auto"/>
        <w:rPr>
          <w:rFonts w:hint="eastAsia" w:ascii="宋体" w:hAnsi="宋体" w:cs="宋体"/>
          <w:sz w:val="28"/>
          <w:szCs w:val="28"/>
        </w:rPr>
      </w:pPr>
      <w:r>
        <w:rPr>
          <w:rFonts w:hint="eastAsia" w:ascii="宋体" w:hAnsi="宋体" w:cs="宋体"/>
          <w:spacing w:val="-4"/>
          <w:sz w:val="28"/>
          <w:szCs w:val="28"/>
        </w:rPr>
        <w:t>案例：</w:t>
      </w:r>
      <w:r>
        <w:rPr>
          <w:rFonts w:hint="eastAsia" w:ascii="宋体" w:hAnsi="宋体" w:cs="宋体"/>
          <w:sz w:val="28"/>
          <w:szCs w:val="28"/>
        </w:rPr>
        <w:t>某车站公共区楼梯高度为0.175m</w:t>
      </w:r>
      <w:r>
        <w:rPr>
          <w:rFonts w:hint="eastAsia" w:ascii="宋体" w:hAnsi="宋体" w:cs="宋体"/>
          <w:color w:val="000000"/>
          <w:sz w:val="28"/>
          <w:lang w:eastAsia="zh-CN"/>
        </w:rPr>
        <w:t>，不满足上述规范要求</w:t>
      </w:r>
      <w:r>
        <w:rPr>
          <w:rFonts w:hint="eastAsia" w:ascii="宋体" w:hAnsi="宋体" w:cs="宋体"/>
          <w:sz w:val="28"/>
          <w:szCs w:val="28"/>
        </w:rPr>
        <w:t>。</w:t>
      </w:r>
    </w:p>
    <w:p w14:paraId="4C8A547C">
      <w:pPr>
        <w:pageBreakBefore w:val="0"/>
        <w:widowControl/>
        <w:kinsoku/>
        <w:wordWrap w:val="0"/>
        <w:topLinePunct w:val="0"/>
        <w:bidi w:val="0"/>
        <w:snapToGrid/>
        <w:ind w:firstLine="560" w:firstLineChars="200"/>
        <w:jc w:val="left"/>
        <w:textAlignment w:val="auto"/>
        <w:rPr>
          <w:rFonts w:hint="eastAsia" w:ascii="宋体" w:hAnsi="宋体" w:cs="宋体"/>
          <w:sz w:val="28"/>
          <w:szCs w:val="28"/>
        </w:rPr>
      </w:pPr>
    </w:p>
    <w:p w14:paraId="76F4DA5B">
      <w:pPr>
        <w:pageBreakBefore w:val="0"/>
        <w:kinsoku/>
        <w:wordWrap w:val="0"/>
        <w:topLinePunct w:val="0"/>
        <w:bidi w:val="0"/>
        <w:snapToGrid/>
        <w:ind w:firstLine="544" w:firstLineChars="200"/>
        <w:textAlignment w:val="auto"/>
        <w:rPr>
          <w:rFonts w:hint="eastAsia" w:ascii="宋体" w:hAnsi="宋体" w:cs="宋体"/>
          <w:spacing w:val="-4"/>
          <w:sz w:val="28"/>
          <w:szCs w:val="28"/>
        </w:rPr>
      </w:pPr>
      <w:r>
        <w:rPr>
          <w:rFonts w:hint="eastAsia" w:ascii="宋体" w:hAnsi="宋体" w:cs="宋体"/>
          <w:spacing w:val="-4"/>
          <w:sz w:val="28"/>
          <w:szCs w:val="28"/>
        </w:rPr>
        <w:t>1.0.9</w:t>
      </w:r>
      <w:r>
        <w:rPr>
          <w:rFonts w:hint="eastAsia" w:ascii="宋体" w:hAnsi="宋体" w:cs="宋体"/>
          <w:spacing w:val="-4"/>
          <w:sz w:val="28"/>
          <w:szCs w:val="28"/>
          <w:lang w:val="en-US" w:eastAsia="zh-CN"/>
        </w:rPr>
        <w:t xml:space="preserve"> </w:t>
      </w:r>
      <w:r>
        <w:rPr>
          <w:rFonts w:hint="eastAsia" w:ascii="宋体" w:hAnsi="宋体" w:cs="宋体"/>
          <w:spacing w:val="-4"/>
          <w:sz w:val="28"/>
          <w:szCs w:val="28"/>
        </w:rPr>
        <w:t>疏散楼梯间平台净宽小于1.2m。</w:t>
      </w:r>
    </w:p>
    <w:p w14:paraId="71A2BE6F">
      <w:pPr>
        <w:pageBreakBefore w:val="0"/>
        <w:widowControl/>
        <w:kinsoku/>
        <w:wordWrap w:val="0"/>
        <w:topLinePunct w:val="0"/>
        <w:bidi w:val="0"/>
        <w:snapToGrid/>
        <w:ind w:firstLine="562" w:firstLineChars="200"/>
        <w:jc w:val="left"/>
        <w:textAlignment w:val="auto"/>
        <w:rPr>
          <w:rFonts w:hint="eastAsia" w:ascii="宋体" w:hAnsi="宋体" w:eastAsia="宋体" w:cs="宋体"/>
          <w:sz w:val="28"/>
          <w:szCs w:val="28"/>
          <w:lang w:eastAsia="zh-CN"/>
        </w:rPr>
      </w:pPr>
      <w:r>
        <w:rPr>
          <w:rFonts w:hint="eastAsia" w:ascii="宋体" w:hAnsi="宋体" w:cs="宋体"/>
          <w:b/>
          <w:bCs/>
          <w:sz w:val="28"/>
          <w:szCs w:val="28"/>
        </w:rPr>
        <w:t>依据</w:t>
      </w:r>
      <w:r>
        <w:rPr>
          <w:rFonts w:hint="eastAsia" w:ascii="宋体" w:hAnsi="宋体" w:cs="宋体"/>
          <w:b/>
          <w:sz w:val="28"/>
          <w:szCs w:val="28"/>
        </w:rPr>
        <w:t>：</w:t>
      </w:r>
      <w:r>
        <w:rPr>
          <w:rFonts w:hint="eastAsia" w:ascii="宋体" w:hAnsi="宋体" w:cs="宋体"/>
          <w:sz w:val="28"/>
          <w:szCs w:val="28"/>
        </w:rPr>
        <w:t>《民用建筑通用规范》</w:t>
      </w:r>
      <w:r>
        <w:rPr>
          <w:rFonts w:hint="eastAsia" w:ascii="宋体" w:hAnsi="宋体" w:cs="宋体"/>
          <w:sz w:val="28"/>
          <w:szCs w:val="28"/>
          <w:lang w:eastAsia="zh-CN"/>
        </w:rPr>
        <w:t>（</w:t>
      </w:r>
      <w:r>
        <w:rPr>
          <w:rFonts w:hint="eastAsia" w:ascii="宋体" w:hAnsi="宋体" w:cs="宋体"/>
          <w:sz w:val="28"/>
          <w:szCs w:val="28"/>
        </w:rPr>
        <w:t>GB55031-2022</w:t>
      </w:r>
      <w:r>
        <w:rPr>
          <w:rFonts w:hint="eastAsia" w:ascii="宋体" w:hAnsi="宋体" w:cs="宋体"/>
          <w:sz w:val="28"/>
          <w:szCs w:val="28"/>
          <w:lang w:eastAsia="zh-CN"/>
        </w:rPr>
        <w:t>）</w:t>
      </w:r>
      <w:r>
        <w:rPr>
          <w:rFonts w:hint="eastAsia" w:ascii="宋体" w:hAnsi="宋体" w:cs="宋体"/>
          <w:sz w:val="28"/>
          <w:szCs w:val="28"/>
        </w:rPr>
        <w:t>第5.3.5条</w:t>
      </w:r>
      <w:r>
        <w:rPr>
          <w:rFonts w:hint="eastAsia" w:ascii="宋体" w:hAnsi="宋体" w:cs="宋体"/>
          <w:sz w:val="28"/>
          <w:szCs w:val="28"/>
          <w:lang w:eastAsia="zh-CN"/>
        </w:rPr>
        <w:t>，</w:t>
      </w:r>
      <w:r>
        <w:rPr>
          <w:rFonts w:hint="eastAsia" w:ascii="宋体" w:hAnsi="宋体" w:cs="宋体"/>
          <w:sz w:val="28"/>
          <w:szCs w:val="28"/>
        </w:rPr>
        <w:t>当梯段改变方向时，楼梯休息平台的最小宽度不应小于梯段净宽，并不应小于1.20m</w:t>
      </w:r>
      <w:r>
        <w:rPr>
          <w:rFonts w:hint="eastAsia" w:ascii="宋体" w:hAnsi="宋体" w:cs="宋体"/>
          <w:sz w:val="28"/>
          <w:szCs w:val="28"/>
          <w:lang w:eastAsia="zh-CN"/>
        </w:rPr>
        <w:t>。</w:t>
      </w:r>
    </w:p>
    <w:p w14:paraId="22D99518">
      <w:pPr>
        <w:pageBreakBefore w:val="0"/>
        <w:widowControl/>
        <w:kinsoku/>
        <w:wordWrap w:val="0"/>
        <w:topLinePunct w:val="0"/>
        <w:bidi w:val="0"/>
        <w:snapToGrid/>
        <w:ind w:firstLine="544" w:firstLineChars="200"/>
        <w:jc w:val="left"/>
        <w:textAlignment w:val="auto"/>
        <w:rPr>
          <w:rFonts w:hint="eastAsia" w:ascii="宋体" w:hAnsi="宋体" w:cs="宋体"/>
          <w:sz w:val="28"/>
          <w:szCs w:val="28"/>
        </w:rPr>
      </w:pPr>
      <w:r>
        <w:rPr>
          <w:rFonts w:hint="eastAsia" w:ascii="宋体" w:hAnsi="宋体" w:cs="宋体"/>
          <w:spacing w:val="-4"/>
          <w:sz w:val="28"/>
          <w:szCs w:val="28"/>
        </w:rPr>
        <w:t>案例：</w:t>
      </w:r>
      <w:r>
        <w:rPr>
          <w:rFonts w:hint="eastAsia" w:ascii="宋体" w:hAnsi="宋体" w:cs="宋体"/>
          <w:sz w:val="28"/>
          <w:szCs w:val="28"/>
        </w:rPr>
        <w:t>某车站疏散楼梯休息平台扶手中心线距离为1.2</w:t>
      </w:r>
      <w:r>
        <w:rPr>
          <w:rFonts w:hint="eastAsia" w:ascii="宋体" w:hAnsi="宋体" w:cs="宋体"/>
          <w:sz w:val="28"/>
          <w:szCs w:val="28"/>
          <w:lang w:val="en-US" w:eastAsia="zh-CN"/>
        </w:rPr>
        <w:t>0</w:t>
      </w:r>
      <w:r>
        <w:rPr>
          <w:rFonts w:hint="eastAsia" w:ascii="宋体" w:hAnsi="宋体" w:cs="宋体"/>
          <w:sz w:val="28"/>
          <w:szCs w:val="28"/>
        </w:rPr>
        <w:t>m，装修后净宽小于1.20m</w:t>
      </w:r>
      <w:r>
        <w:rPr>
          <w:rFonts w:hint="eastAsia" w:ascii="宋体" w:hAnsi="宋体" w:cs="宋体"/>
          <w:color w:val="000000"/>
          <w:sz w:val="28"/>
          <w:lang w:eastAsia="zh-CN"/>
        </w:rPr>
        <w:t>，不满足上述规范要求</w:t>
      </w:r>
      <w:r>
        <w:rPr>
          <w:rFonts w:hint="eastAsia" w:ascii="宋体" w:hAnsi="宋体" w:cs="宋体"/>
          <w:spacing w:val="-4"/>
          <w:sz w:val="28"/>
          <w:szCs w:val="28"/>
        </w:rPr>
        <w:t>。</w:t>
      </w:r>
    </w:p>
    <w:p w14:paraId="061FE298">
      <w:pPr>
        <w:pageBreakBefore w:val="0"/>
        <w:widowControl/>
        <w:kinsoku/>
        <w:wordWrap w:val="0"/>
        <w:topLinePunct w:val="0"/>
        <w:bidi w:val="0"/>
        <w:snapToGrid/>
        <w:ind w:firstLine="420" w:firstLineChars="200"/>
        <w:jc w:val="center"/>
        <w:textAlignment w:val="auto"/>
        <w:rPr>
          <w:rFonts w:hint="eastAsia" w:ascii="宋体" w:hAnsi="宋体" w:cs="宋体"/>
          <w:sz w:val="28"/>
          <w:szCs w:val="28"/>
        </w:rPr>
      </w:pPr>
      <w:r>
        <w:drawing>
          <wp:inline distT="0" distB="0" distL="0" distR="0">
            <wp:extent cx="4325620" cy="2666365"/>
            <wp:effectExtent l="0" t="0" r="0" b="635"/>
            <wp:docPr id="9"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1"/>
                    <pic:cNvPicPr>
                      <a:picLocks noChangeAspect="1"/>
                    </pic:cNvPicPr>
                  </pic:nvPicPr>
                  <pic:blipFill>
                    <a:blip r:embed="rId9"/>
                    <a:stretch>
                      <a:fillRect/>
                    </a:stretch>
                  </pic:blipFill>
                  <pic:spPr>
                    <a:xfrm>
                      <a:off x="0" y="0"/>
                      <a:ext cx="4325625" cy="2666409"/>
                    </a:xfrm>
                    <a:prstGeom prst="rect">
                      <a:avLst/>
                    </a:prstGeom>
                    <a:noFill/>
                    <a:ln w="9525" cap="flat" cmpd="sng">
                      <a:noFill/>
                      <a:prstDash val="solid"/>
                      <a:miter/>
                    </a:ln>
                  </pic:spPr>
                </pic:pic>
              </a:graphicData>
            </a:graphic>
          </wp:inline>
        </w:drawing>
      </w:r>
    </w:p>
    <w:p w14:paraId="47837737">
      <w:pPr>
        <w:pageBreakBefore w:val="0"/>
        <w:kinsoku/>
        <w:wordWrap w:val="0"/>
        <w:topLinePunct w:val="0"/>
        <w:bidi w:val="0"/>
        <w:snapToGrid/>
        <w:ind w:firstLine="560" w:firstLineChars="200"/>
        <w:textAlignment w:val="auto"/>
        <w:rPr>
          <w:rFonts w:hint="eastAsia" w:ascii="宋体" w:hAnsi="宋体" w:cs="宋体"/>
          <w:bCs/>
          <w:color w:val="000000"/>
          <w:sz w:val="28"/>
          <w:szCs w:val="28"/>
        </w:rPr>
      </w:pPr>
    </w:p>
    <w:p w14:paraId="4AD35E35">
      <w:pPr>
        <w:pageBreakBefore w:val="0"/>
        <w:kinsoku/>
        <w:wordWrap w:val="0"/>
        <w:topLinePunct w:val="0"/>
        <w:bidi w:val="0"/>
        <w:snapToGrid/>
        <w:ind w:firstLine="560" w:firstLineChars="200"/>
        <w:textAlignment w:val="auto"/>
        <w:rPr>
          <w:rFonts w:hint="eastAsia" w:ascii="宋体" w:hAnsi="宋体" w:cs="宋体"/>
          <w:sz w:val="28"/>
          <w:szCs w:val="28"/>
        </w:rPr>
      </w:pPr>
      <w:r>
        <w:rPr>
          <w:rFonts w:hint="eastAsia" w:ascii="宋体" w:hAnsi="宋体" w:cs="宋体"/>
          <w:bCs/>
          <w:color w:val="000000"/>
          <w:sz w:val="28"/>
          <w:szCs w:val="28"/>
        </w:rPr>
        <w:t>1.0.10</w:t>
      </w:r>
      <w:r>
        <w:rPr>
          <w:rFonts w:hint="eastAsia" w:ascii="宋体" w:hAnsi="宋体" w:cs="宋体"/>
          <w:bCs/>
          <w:color w:val="000000"/>
          <w:sz w:val="28"/>
          <w:szCs w:val="28"/>
          <w:lang w:val="en-US" w:eastAsia="zh-CN"/>
        </w:rPr>
        <w:t xml:space="preserve"> </w:t>
      </w:r>
      <w:r>
        <w:rPr>
          <w:rFonts w:hint="eastAsia" w:ascii="宋体" w:hAnsi="宋体" w:cs="宋体"/>
          <w:bCs/>
          <w:color w:val="000000"/>
          <w:sz w:val="28"/>
          <w:szCs w:val="28"/>
        </w:rPr>
        <w:t>车站单向公共区人行楼梯宽度不足1.8m。</w:t>
      </w:r>
    </w:p>
    <w:p w14:paraId="7F3C9EAE">
      <w:pPr>
        <w:pageBreakBefore w:val="0"/>
        <w:kinsoku/>
        <w:wordWrap w:val="0"/>
        <w:topLinePunct w:val="0"/>
        <w:bidi w:val="0"/>
        <w:snapToGrid/>
        <w:ind w:firstLine="562" w:firstLineChars="200"/>
        <w:textAlignment w:val="auto"/>
        <w:rPr>
          <w:rFonts w:hint="eastAsia" w:ascii="宋体" w:hAnsi="宋体" w:cs="宋体"/>
          <w:bCs/>
          <w:color w:val="000000"/>
          <w:sz w:val="28"/>
          <w:szCs w:val="28"/>
        </w:rPr>
      </w:pPr>
      <w:r>
        <w:rPr>
          <w:rFonts w:hint="eastAsia" w:ascii="宋体" w:hAnsi="宋体" w:cs="宋体"/>
          <w:b/>
          <w:bCs/>
          <w:sz w:val="28"/>
          <w:szCs w:val="28"/>
        </w:rPr>
        <w:t>依据：</w:t>
      </w:r>
      <w:r>
        <w:rPr>
          <w:rFonts w:hint="eastAsia" w:ascii="宋体" w:hAnsi="宋体" w:cs="宋体"/>
          <w:spacing w:val="-4"/>
          <w:sz w:val="28"/>
          <w:szCs w:val="28"/>
        </w:rPr>
        <w:t>《地铁设计规范》</w:t>
      </w:r>
      <w:r>
        <w:rPr>
          <w:rFonts w:hint="eastAsia" w:ascii="宋体" w:hAnsi="宋体" w:cs="宋体"/>
          <w:spacing w:val="-4"/>
          <w:sz w:val="28"/>
          <w:szCs w:val="28"/>
          <w:lang w:eastAsia="zh-CN"/>
        </w:rPr>
        <w:t>（</w:t>
      </w:r>
      <w:r>
        <w:rPr>
          <w:rFonts w:hint="eastAsia" w:ascii="宋体" w:hAnsi="宋体" w:cs="宋体"/>
          <w:spacing w:val="-4"/>
          <w:sz w:val="28"/>
          <w:szCs w:val="28"/>
        </w:rPr>
        <w:t>GB50157-2013</w:t>
      </w:r>
      <w:r>
        <w:rPr>
          <w:rFonts w:hint="eastAsia" w:ascii="宋体" w:hAnsi="宋体" w:cs="宋体"/>
          <w:spacing w:val="-4"/>
          <w:sz w:val="28"/>
          <w:szCs w:val="28"/>
          <w:lang w:eastAsia="zh-CN"/>
        </w:rPr>
        <w:t>）</w:t>
      </w:r>
      <w:r>
        <w:rPr>
          <w:rFonts w:hint="eastAsia" w:ascii="宋体" w:hAnsi="宋体" w:cs="宋体"/>
          <w:spacing w:val="-4"/>
          <w:sz w:val="28"/>
          <w:szCs w:val="28"/>
        </w:rPr>
        <w:t>表9.3.15-1，单向楼梯最小宽度1.8m</w:t>
      </w:r>
      <w:r>
        <w:rPr>
          <w:rFonts w:hint="eastAsia" w:ascii="宋体" w:hAnsi="宋体" w:cs="宋体"/>
          <w:spacing w:val="-4"/>
          <w:sz w:val="28"/>
          <w:szCs w:val="28"/>
          <w:lang w:eastAsia="zh-CN"/>
        </w:rPr>
        <w:t>；</w:t>
      </w:r>
      <w:r>
        <w:rPr>
          <w:rFonts w:hint="eastAsia" w:ascii="宋体" w:hAnsi="宋体" w:cs="宋体"/>
          <w:spacing w:val="-4"/>
          <w:sz w:val="28"/>
          <w:szCs w:val="28"/>
        </w:rPr>
        <w:t>《城市轨道交通工程项目规范》</w:t>
      </w:r>
      <w:r>
        <w:rPr>
          <w:rFonts w:hint="eastAsia" w:ascii="宋体" w:hAnsi="宋体" w:cs="宋体"/>
          <w:spacing w:val="-4"/>
          <w:sz w:val="28"/>
          <w:szCs w:val="28"/>
          <w:lang w:eastAsia="zh-CN"/>
        </w:rPr>
        <w:t>（</w:t>
      </w:r>
      <w:r>
        <w:rPr>
          <w:rFonts w:hint="eastAsia" w:ascii="宋体" w:hAnsi="宋体" w:cs="宋体"/>
          <w:spacing w:val="-4"/>
          <w:sz w:val="28"/>
          <w:szCs w:val="28"/>
        </w:rPr>
        <w:t>GB55033-2022</w:t>
      </w:r>
      <w:r>
        <w:rPr>
          <w:rFonts w:hint="eastAsia" w:ascii="宋体" w:hAnsi="宋体" w:cs="宋体"/>
          <w:spacing w:val="-4"/>
          <w:sz w:val="28"/>
          <w:szCs w:val="28"/>
          <w:lang w:eastAsia="zh-CN"/>
        </w:rPr>
        <w:t>）</w:t>
      </w:r>
      <w:r>
        <w:rPr>
          <w:rFonts w:hint="eastAsia" w:ascii="宋体" w:hAnsi="宋体" w:cs="宋体"/>
          <w:spacing w:val="-4"/>
          <w:sz w:val="28"/>
          <w:szCs w:val="28"/>
        </w:rPr>
        <w:t>第5.4.5条</w:t>
      </w:r>
      <w:r>
        <w:rPr>
          <w:rFonts w:hint="eastAsia" w:ascii="宋体" w:hAnsi="宋体" w:cs="宋体"/>
          <w:spacing w:val="-4"/>
          <w:sz w:val="28"/>
          <w:szCs w:val="28"/>
          <w:lang w:val="en-US" w:eastAsia="zh-CN"/>
        </w:rPr>
        <w:t>第2款</w:t>
      </w:r>
      <w:r>
        <w:rPr>
          <w:rFonts w:hint="eastAsia" w:ascii="宋体" w:hAnsi="宋体" w:cs="宋体"/>
          <w:spacing w:val="-4"/>
          <w:sz w:val="28"/>
          <w:szCs w:val="28"/>
          <w:lang w:eastAsia="zh-CN"/>
        </w:rPr>
        <w:t>，</w:t>
      </w:r>
      <w:r>
        <w:rPr>
          <w:rFonts w:hint="eastAsia" w:ascii="宋体" w:hAnsi="宋体" w:cs="宋体"/>
          <w:bCs/>
          <w:color w:val="000000"/>
          <w:sz w:val="28"/>
          <w:szCs w:val="28"/>
        </w:rPr>
        <w:t>车站单向公共区人行楼梯宽度不应小于1.8m。</w:t>
      </w:r>
    </w:p>
    <w:p w14:paraId="04E1AF6B">
      <w:pPr>
        <w:pageBreakBefore w:val="0"/>
        <w:kinsoku/>
        <w:wordWrap w:val="0"/>
        <w:topLinePunct w:val="0"/>
        <w:bidi w:val="0"/>
        <w:snapToGrid/>
        <w:ind w:firstLine="544" w:firstLineChars="200"/>
        <w:textAlignment w:val="auto"/>
        <w:rPr>
          <w:rFonts w:hint="eastAsia" w:ascii="宋体" w:hAnsi="宋体" w:cs="宋体"/>
          <w:spacing w:val="-4"/>
          <w:sz w:val="28"/>
          <w:szCs w:val="28"/>
        </w:rPr>
      </w:pPr>
      <w:r>
        <w:rPr>
          <w:rFonts w:hint="eastAsia" w:ascii="宋体" w:hAnsi="宋体" w:cs="宋体"/>
          <w:spacing w:val="-4"/>
          <w:sz w:val="28"/>
          <w:szCs w:val="28"/>
        </w:rPr>
        <w:t>案例：某车站公共区站厅到站台设置两扶夹一楼形式的楼扶梯组，中部楼梯土建宽度1.9m，扶手安装后两侧扶手净宽为1.78m</w:t>
      </w:r>
      <w:r>
        <w:rPr>
          <w:rFonts w:hint="eastAsia" w:ascii="宋体" w:hAnsi="宋体" w:cs="宋体"/>
          <w:color w:val="000000"/>
          <w:sz w:val="28"/>
          <w:lang w:eastAsia="zh-CN"/>
        </w:rPr>
        <w:t>，不满足上述规范要求</w:t>
      </w:r>
      <w:r>
        <w:rPr>
          <w:rFonts w:hint="eastAsia" w:ascii="宋体" w:hAnsi="宋体" w:cs="宋体"/>
          <w:spacing w:val="-4"/>
          <w:sz w:val="28"/>
          <w:szCs w:val="28"/>
        </w:rPr>
        <w:t>。</w:t>
      </w:r>
    </w:p>
    <w:p w14:paraId="4A2DCD9F">
      <w:pPr>
        <w:pageBreakBefore w:val="0"/>
        <w:kinsoku/>
        <w:wordWrap w:val="0"/>
        <w:topLinePunct w:val="0"/>
        <w:bidi w:val="0"/>
        <w:snapToGrid/>
        <w:ind w:firstLine="420" w:firstLineChars="200"/>
        <w:jc w:val="center"/>
        <w:textAlignment w:val="auto"/>
        <w:rPr>
          <w:rFonts w:hint="eastAsia" w:ascii="宋体" w:hAnsi="宋体" w:cs="宋体"/>
          <w:sz w:val="28"/>
          <w:szCs w:val="28"/>
        </w:rPr>
      </w:pPr>
      <w:r>
        <w:drawing>
          <wp:inline distT="0" distB="0" distL="0" distR="0">
            <wp:extent cx="4524375" cy="2375535"/>
            <wp:effectExtent l="0" t="0" r="8889" b="5715"/>
            <wp:docPr id="10"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1"/>
                    <pic:cNvPicPr>
                      <a:picLocks noChangeAspect="1"/>
                    </pic:cNvPicPr>
                  </pic:nvPicPr>
                  <pic:blipFill>
                    <a:blip r:embed="rId10"/>
                    <a:stretch>
                      <a:fillRect/>
                    </a:stretch>
                  </pic:blipFill>
                  <pic:spPr>
                    <a:xfrm>
                      <a:off x="0" y="0"/>
                      <a:ext cx="4525009" cy="2375821"/>
                    </a:xfrm>
                    <a:prstGeom prst="rect">
                      <a:avLst/>
                    </a:prstGeom>
                    <a:noFill/>
                    <a:ln w="9525" cap="flat" cmpd="sng">
                      <a:noFill/>
                      <a:prstDash val="solid"/>
                      <a:miter/>
                    </a:ln>
                  </pic:spPr>
                </pic:pic>
              </a:graphicData>
            </a:graphic>
          </wp:inline>
        </w:drawing>
      </w:r>
    </w:p>
    <w:p w14:paraId="1A02CD0A">
      <w:pPr>
        <w:pageBreakBefore w:val="0"/>
        <w:kinsoku/>
        <w:wordWrap w:val="0"/>
        <w:topLinePunct w:val="0"/>
        <w:bidi w:val="0"/>
        <w:snapToGrid/>
        <w:ind w:firstLine="560" w:firstLineChars="200"/>
        <w:textAlignment w:val="auto"/>
        <w:rPr>
          <w:rFonts w:hint="eastAsia" w:ascii="宋体" w:hAnsi="宋体" w:cs="宋体"/>
          <w:bCs/>
          <w:color w:val="000000"/>
          <w:sz w:val="28"/>
          <w:szCs w:val="28"/>
        </w:rPr>
      </w:pPr>
    </w:p>
    <w:p w14:paraId="047A88F3">
      <w:pPr>
        <w:pageBreakBefore w:val="0"/>
        <w:kinsoku/>
        <w:wordWrap w:val="0"/>
        <w:topLinePunct w:val="0"/>
        <w:bidi w:val="0"/>
        <w:snapToGrid/>
        <w:ind w:firstLine="560" w:firstLineChars="200"/>
        <w:textAlignment w:val="auto"/>
        <w:rPr>
          <w:rFonts w:hint="eastAsia" w:ascii="宋体" w:hAnsi="宋体" w:cs="宋体"/>
          <w:sz w:val="28"/>
          <w:szCs w:val="28"/>
        </w:rPr>
      </w:pPr>
      <w:r>
        <w:rPr>
          <w:rFonts w:hint="eastAsia" w:ascii="宋体" w:hAnsi="宋体" w:cs="宋体"/>
          <w:bCs/>
          <w:color w:val="000000"/>
          <w:sz w:val="28"/>
          <w:szCs w:val="28"/>
        </w:rPr>
        <w:t>1.0.11 防火墙两侧门窗洞口之间的距离不足2.0m。</w:t>
      </w:r>
    </w:p>
    <w:p w14:paraId="095A7BA7">
      <w:pPr>
        <w:pageBreakBefore w:val="0"/>
        <w:kinsoku/>
        <w:wordWrap w:val="0"/>
        <w:topLinePunct w:val="0"/>
        <w:bidi w:val="0"/>
        <w:snapToGrid/>
        <w:ind w:firstLine="562" w:firstLineChars="200"/>
        <w:textAlignment w:val="auto"/>
        <w:rPr>
          <w:rFonts w:hint="eastAsia" w:ascii="宋体" w:hAnsi="宋体" w:cs="宋体"/>
          <w:spacing w:val="-4"/>
          <w:sz w:val="28"/>
          <w:szCs w:val="28"/>
        </w:rPr>
      </w:pPr>
      <w:r>
        <w:rPr>
          <w:rFonts w:hint="eastAsia" w:ascii="宋体" w:hAnsi="宋体" w:cs="宋体"/>
          <w:b/>
          <w:bCs/>
          <w:sz w:val="28"/>
          <w:szCs w:val="28"/>
        </w:rPr>
        <w:t>依据</w:t>
      </w:r>
      <w:r>
        <w:rPr>
          <w:rFonts w:hint="eastAsia" w:ascii="宋体" w:hAnsi="宋体" w:cs="宋体"/>
          <w:b/>
          <w:sz w:val="28"/>
          <w:szCs w:val="28"/>
        </w:rPr>
        <w:t>：</w:t>
      </w:r>
      <w:r>
        <w:rPr>
          <w:rFonts w:hint="eastAsia" w:ascii="宋体" w:hAnsi="宋体" w:cs="宋体"/>
          <w:bCs/>
          <w:color w:val="000000"/>
          <w:sz w:val="28"/>
          <w:szCs w:val="28"/>
        </w:rPr>
        <w:t>《建筑设计防火规范》（GB50016-2014</w:t>
      </w:r>
      <w:r>
        <w:rPr>
          <w:rFonts w:hint="eastAsia" w:ascii="宋体" w:hAnsi="宋体" w:cs="宋体"/>
          <w:spacing w:val="-4"/>
          <w:sz w:val="28"/>
          <w:szCs w:val="28"/>
        </w:rPr>
        <w:t>（2018版）</w:t>
      </w:r>
      <w:r>
        <w:rPr>
          <w:rFonts w:hint="eastAsia" w:ascii="宋体" w:hAnsi="宋体" w:cs="宋体"/>
          <w:bCs/>
          <w:color w:val="000000"/>
          <w:sz w:val="28"/>
          <w:szCs w:val="28"/>
        </w:rPr>
        <w:t>）</w:t>
      </w:r>
      <w:r>
        <w:rPr>
          <w:rFonts w:hint="eastAsia" w:ascii="宋体" w:hAnsi="宋体" w:cs="宋体"/>
          <w:spacing w:val="-4"/>
          <w:sz w:val="28"/>
          <w:szCs w:val="28"/>
        </w:rPr>
        <w:t>第6.1.3条</w:t>
      </w:r>
      <w:r>
        <w:rPr>
          <w:rFonts w:hint="eastAsia" w:ascii="宋体" w:hAnsi="宋体" w:cs="宋体"/>
          <w:spacing w:val="-4"/>
          <w:sz w:val="28"/>
          <w:szCs w:val="28"/>
          <w:lang w:eastAsia="zh-CN"/>
        </w:rPr>
        <w:t>，</w:t>
      </w:r>
      <w:r>
        <w:rPr>
          <w:rFonts w:hint="eastAsia" w:ascii="宋体" w:hAnsi="宋体" w:cs="宋体"/>
          <w:bCs/>
          <w:color w:val="000000"/>
          <w:sz w:val="28"/>
          <w:szCs w:val="28"/>
        </w:rPr>
        <w:t>建筑外墙为不燃性墙体时，防火墙可不凸出墙的外表面，紧靠防火墙两侧的门窗洞口之间最近边缘的距离不应小于2.0m。采取设置乙级防火窗等防止火灾水平蔓延的措施时，该距离不限。</w:t>
      </w:r>
    </w:p>
    <w:p w14:paraId="25EF8FAA">
      <w:pPr>
        <w:pageBreakBefore w:val="0"/>
        <w:kinsoku/>
        <w:wordWrap w:val="0"/>
        <w:topLinePunct w:val="0"/>
        <w:bidi w:val="0"/>
        <w:snapToGrid/>
        <w:ind w:firstLine="544" w:firstLineChars="200"/>
        <w:textAlignment w:val="auto"/>
        <w:rPr>
          <w:rFonts w:hint="eastAsia" w:ascii="宋体" w:hAnsi="宋体" w:cs="宋体"/>
          <w:spacing w:val="-4"/>
          <w:sz w:val="28"/>
          <w:szCs w:val="28"/>
        </w:rPr>
      </w:pPr>
      <w:r>
        <w:rPr>
          <w:rFonts w:hint="eastAsia" w:ascii="宋体" w:hAnsi="宋体" w:cs="宋体"/>
          <w:spacing w:val="-4"/>
          <w:sz w:val="28"/>
          <w:szCs w:val="28"/>
        </w:rPr>
        <w:t>案例：某车站公共区卫生间窗口与设备区房间窗口的</w:t>
      </w:r>
      <w:r>
        <w:rPr>
          <w:rFonts w:hint="eastAsia" w:ascii="宋体" w:hAnsi="宋体" w:cs="宋体"/>
          <w:bCs/>
          <w:color w:val="000000"/>
          <w:sz w:val="28"/>
          <w:szCs w:val="28"/>
        </w:rPr>
        <w:t>最近边缘</w:t>
      </w:r>
      <w:r>
        <w:rPr>
          <w:rFonts w:hint="eastAsia" w:ascii="宋体" w:hAnsi="宋体" w:cs="宋体"/>
          <w:spacing w:val="-4"/>
          <w:sz w:val="28"/>
          <w:szCs w:val="28"/>
        </w:rPr>
        <w:t>距离仅为1.5</w:t>
      </w:r>
      <w:r>
        <w:rPr>
          <w:rFonts w:hint="eastAsia" w:ascii="宋体" w:hAnsi="宋体" w:cs="宋体"/>
          <w:spacing w:val="-4"/>
          <w:sz w:val="28"/>
          <w:szCs w:val="28"/>
          <w:lang w:val="en-US" w:eastAsia="zh-CN"/>
        </w:rPr>
        <w:t>5</w:t>
      </w:r>
      <w:r>
        <w:rPr>
          <w:rFonts w:hint="eastAsia" w:ascii="宋体" w:hAnsi="宋体" w:cs="宋体"/>
          <w:spacing w:val="-4"/>
          <w:sz w:val="28"/>
          <w:szCs w:val="28"/>
        </w:rPr>
        <w:t>m，且均非乙级防火窗</w:t>
      </w:r>
      <w:r>
        <w:rPr>
          <w:rFonts w:hint="eastAsia" w:ascii="宋体" w:hAnsi="宋体" w:cs="宋体"/>
          <w:color w:val="000000"/>
          <w:sz w:val="28"/>
          <w:lang w:eastAsia="zh-CN"/>
        </w:rPr>
        <w:t>，不满足上述规范要求</w:t>
      </w:r>
      <w:r>
        <w:rPr>
          <w:rFonts w:hint="eastAsia" w:ascii="宋体" w:hAnsi="宋体" w:cs="宋体"/>
          <w:spacing w:val="-4"/>
          <w:sz w:val="28"/>
          <w:szCs w:val="28"/>
        </w:rPr>
        <w:t>。</w:t>
      </w:r>
    </w:p>
    <w:p w14:paraId="42203C2B">
      <w:pPr>
        <w:pageBreakBefore w:val="0"/>
        <w:kinsoku/>
        <w:wordWrap w:val="0"/>
        <w:topLinePunct w:val="0"/>
        <w:bidi w:val="0"/>
        <w:snapToGrid/>
        <w:ind w:firstLine="420" w:firstLineChars="200"/>
        <w:textAlignment w:val="auto"/>
        <w:rPr>
          <w:rFonts w:hint="eastAsia" w:ascii="宋体" w:hAnsi="宋体" w:cs="宋体"/>
          <w:spacing w:val="-4"/>
          <w:sz w:val="28"/>
          <w:szCs w:val="28"/>
        </w:rPr>
      </w:pPr>
      <w:r>
        <w:drawing>
          <wp:inline distT="0" distB="0" distL="0" distR="0">
            <wp:extent cx="4448175" cy="2724785"/>
            <wp:effectExtent l="0" t="0" r="0" b="0"/>
            <wp:docPr id="1799096756"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99096756" name="图片 1"/>
                    <pic:cNvPicPr>
                      <a:picLocks noChangeAspect="1"/>
                    </pic:cNvPicPr>
                  </pic:nvPicPr>
                  <pic:blipFill>
                    <a:blip r:embed="rId11">
                      <a:extLst>
                        <a:ext uri="{28A0092B-C50C-407E-A947-70E740481C1C}">
                          <a14:useLocalDpi xmlns:a14="http://schemas.microsoft.com/office/drawing/2010/main" val="0"/>
                        </a:ext>
                      </a:extLst>
                    </a:blip>
                    <a:stretch>
                      <a:fillRect/>
                    </a:stretch>
                  </pic:blipFill>
                  <pic:spPr>
                    <a:xfrm>
                      <a:off x="0" y="0"/>
                      <a:ext cx="4456181" cy="2729719"/>
                    </a:xfrm>
                    <a:prstGeom prst="rect">
                      <a:avLst/>
                    </a:prstGeom>
                  </pic:spPr>
                </pic:pic>
              </a:graphicData>
            </a:graphic>
          </wp:inline>
        </w:drawing>
      </w:r>
    </w:p>
    <w:p w14:paraId="5989E217">
      <w:pPr>
        <w:pageBreakBefore w:val="0"/>
        <w:kinsoku/>
        <w:wordWrap w:val="0"/>
        <w:topLinePunct w:val="0"/>
        <w:bidi w:val="0"/>
        <w:snapToGrid/>
        <w:jc w:val="center"/>
        <w:textAlignment w:val="auto"/>
        <w:rPr>
          <w:rFonts w:hint="eastAsia" w:ascii="宋体" w:hAnsi="宋体" w:cs="宋体"/>
        </w:rPr>
      </w:pPr>
    </w:p>
    <w:p w14:paraId="46398852">
      <w:pPr>
        <w:pageBreakBefore w:val="0"/>
        <w:kinsoku/>
        <w:wordWrap w:val="0"/>
        <w:topLinePunct w:val="0"/>
        <w:bidi w:val="0"/>
        <w:snapToGrid/>
        <w:ind w:firstLine="544" w:firstLineChars="200"/>
        <w:textAlignment w:val="auto"/>
        <w:rPr>
          <w:rFonts w:hint="eastAsia" w:ascii="宋体" w:hAnsi="宋体" w:cs="宋体"/>
          <w:spacing w:val="-4"/>
          <w:sz w:val="28"/>
          <w:szCs w:val="28"/>
        </w:rPr>
      </w:pPr>
      <w:bookmarkStart w:id="1" w:name="_Hlk171711153"/>
      <w:r>
        <w:rPr>
          <w:rFonts w:hint="eastAsia" w:ascii="宋体" w:hAnsi="宋体" w:cs="宋体"/>
          <w:spacing w:val="-4"/>
          <w:sz w:val="28"/>
          <w:szCs w:val="28"/>
        </w:rPr>
        <w:t>1.0.1</w:t>
      </w:r>
      <w:r>
        <w:rPr>
          <w:rFonts w:hint="eastAsia" w:ascii="宋体" w:hAnsi="宋体" w:cs="宋体"/>
          <w:spacing w:val="-4"/>
          <w:sz w:val="28"/>
          <w:szCs w:val="28"/>
          <w:lang w:val="en-US" w:eastAsia="zh-CN"/>
        </w:rPr>
        <w:t xml:space="preserve">2 </w:t>
      </w:r>
      <w:r>
        <w:rPr>
          <w:rFonts w:hint="eastAsia" w:ascii="宋体" w:hAnsi="宋体" w:cs="宋体"/>
          <w:spacing w:val="-4"/>
          <w:sz w:val="28"/>
          <w:szCs w:val="28"/>
        </w:rPr>
        <w:t>装修材料的燃烧性能不满足A级。</w:t>
      </w:r>
    </w:p>
    <w:p w14:paraId="788530C7">
      <w:pPr>
        <w:pageBreakBefore w:val="0"/>
        <w:kinsoku/>
        <w:wordWrap w:val="0"/>
        <w:topLinePunct w:val="0"/>
        <w:bidi w:val="0"/>
        <w:snapToGrid/>
        <w:ind w:firstLine="546" w:firstLineChars="200"/>
        <w:textAlignment w:val="auto"/>
        <w:rPr>
          <w:rFonts w:hint="eastAsia" w:ascii="宋体" w:hAnsi="宋体" w:cs="宋体"/>
          <w:b/>
          <w:bCs/>
          <w:spacing w:val="-4"/>
          <w:sz w:val="28"/>
          <w:szCs w:val="28"/>
        </w:rPr>
      </w:pPr>
      <w:r>
        <w:rPr>
          <w:rFonts w:hint="eastAsia" w:ascii="宋体" w:hAnsi="宋体" w:cs="宋体"/>
          <w:b/>
          <w:bCs/>
          <w:spacing w:val="-4"/>
          <w:sz w:val="28"/>
          <w:szCs w:val="28"/>
        </w:rPr>
        <w:t>依据：</w:t>
      </w:r>
      <w:r>
        <w:rPr>
          <w:rFonts w:hint="eastAsia" w:ascii="宋体" w:hAnsi="宋体" w:cs="宋体"/>
          <w:spacing w:val="-4"/>
          <w:sz w:val="28"/>
          <w:szCs w:val="28"/>
        </w:rPr>
        <w:t>《地铁设计防火标准》</w:t>
      </w:r>
      <w:r>
        <w:rPr>
          <w:rFonts w:hint="eastAsia" w:ascii="宋体" w:hAnsi="宋体" w:cs="宋体"/>
          <w:spacing w:val="-4"/>
          <w:sz w:val="28"/>
          <w:szCs w:val="28"/>
          <w:lang w:eastAsia="zh-CN"/>
        </w:rPr>
        <w:t>（</w:t>
      </w:r>
      <w:r>
        <w:rPr>
          <w:rFonts w:hint="eastAsia" w:ascii="宋体" w:hAnsi="宋体" w:cs="宋体"/>
          <w:spacing w:val="-4"/>
          <w:sz w:val="28"/>
          <w:szCs w:val="28"/>
        </w:rPr>
        <w:t>GB51298-2018</w:t>
      </w:r>
      <w:r>
        <w:rPr>
          <w:rFonts w:hint="eastAsia" w:ascii="宋体" w:hAnsi="宋体" w:cs="宋体"/>
          <w:spacing w:val="-4"/>
          <w:sz w:val="28"/>
          <w:szCs w:val="28"/>
          <w:lang w:eastAsia="zh-CN"/>
        </w:rPr>
        <w:t>）</w:t>
      </w:r>
      <w:r>
        <w:rPr>
          <w:rFonts w:hint="eastAsia" w:ascii="宋体" w:hAnsi="宋体" w:cs="宋体"/>
          <w:spacing w:val="-4"/>
          <w:sz w:val="28"/>
          <w:szCs w:val="28"/>
          <w:lang w:val="en-US" w:eastAsia="zh-CN"/>
        </w:rPr>
        <w:t>第</w:t>
      </w:r>
      <w:r>
        <w:rPr>
          <w:rFonts w:hint="eastAsia" w:ascii="宋体" w:hAnsi="宋体" w:cs="宋体"/>
          <w:spacing w:val="-4"/>
          <w:sz w:val="28"/>
          <w:szCs w:val="28"/>
        </w:rPr>
        <w:t>6.3.2</w:t>
      </w:r>
      <w:r>
        <w:rPr>
          <w:rFonts w:hint="eastAsia" w:ascii="宋体" w:hAnsi="宋体" w:cs="宋体"/>
          <w:spacing w:val="-4"/>
          <w:sz w:val="28"/>
          <w:szCs w:val="28"/>
          <w:lang w:val="en-US" w:eastAsia="zh-CN"/>
        </w:rPr>
        <w:t>条，</w:t>
      </w:r>
      <w:r>
        <w:rPr>
          <w:rFonts w:hint="eastAsia" w:ascii="宋体" w:hAnsi="宋体" w:cs="宋体"/>
          <w:spacing w:val="-4"/>
          <w:sz w:val="28"/>
          <w:szCs w:val="28"/>
        </w:rPr>
        <w:t>休息室、更衣室、卫生间等场所，其顶棚装修材料的燃烧性能均应为A级，墙面、地面装修材料的燃烧性能均不应低于B1级。除架空地板的燃烧性能可为B1级外，设备管理区用房的顶棚、墙面、地面装修材料的燃烧性能均应为A级。</w:t>
      </w:r>
    </w:p>
    <w:p w14:paraId="30EC70CA">
      <w:pPr>
        <w:pageBreakBefore w:val="0"/>
        <w:kinsoku/>
        <w:wordWrap w:val="0"/>
        <w:topLinePunct w:val="0"/>
        <w:bidi w:val="0"/>
        <w:snapToGrid/>
        <w:ind w:firstLine="544" w:firstLineChars="200"/>
        <w:textAlignment w:val="auto"/>
        <w:rPr>
          <w:rFonts w:hint="eastAsia" w:ascii="宋体" w:hAnsi="宋体" w:cs="宋体"/>
          <w:spacing w:val="-4"/>
          <w:sz w:val="28"/>
          <w:szCs w:val="28"/>
        </w:rPr>
      </w:pPr>
      <w:r>
        <w:rPr>
          <w:rFonts w:hint="eastAsia" w:ascii="宋体" w:hAnsi="宋体" w:cs="宋体"/>
          <w:spacing w:val="-4"/>
          <w:sz w:val="28"/>
          <w:szCs w:val="28"/>
        </w:rPr>
        <w:t>案例：某线车站设备区装修表中墙面采用的乳胶漆为有机涂料，燃烧性能</w:t>
      </w:r>
      <w:r>
        <w:rPr>
          <w:rFonts w:hint="eastAsia" w:ascii="宋体" w:hAnsi="宋体" w:cs="宋体"/>
          <w:spacing w:val="-4"/>
          <w:sz w:val="28"/>
          <w:szCs w:val="28"/>
          <w:lang w:val="en-US" w:eastAsia="zh-CN"/>
        </w:rPr>
        <w:t>未</w:t>
      </w:r>
      <w:r>
        <w:rPr>
          <w:rFonts w:hint="eastAsia" w:ascii="宋体" w:hAnsi="宋体" w:cs="宋体"/>
          <w:spacing w:val="-4"/>
          <w:sz w:val="28"/>
          <w:szCs w:val="28"/>
        </w:rPr>
        <w:t>达到A级标准</w:t>
      </w:r>
      <w:r>
        <w:rPr>
          <w:rFonts w:hint="eastAsia" w:ascii="宋体" w:hAnsi="宋体" w:cs="宋体"/>
          <w:color w:val="000000"/>
          <w:sz w:val="28"/>
          <w:lang w:eastAsia="zh-CN"/>
        </w:rPr>
        <w:t>，不满足上述规范要求</w:t>
      </w:r>
      <w:r>
        <w:rPr>
          <w:rFonts w:hint="eastAsia" w:ascii="宋体" w:hAnsi="宋体" w:cs="宋体"/>
          <w:spacing w:val="-4"/>
          <w:sz w:val="28"/>
          <w:szCs w:val="28"/>
        </w:rPr>
        <w:t>。</w:t>
      </w:r>
    </w:p>
    <w:p w14:paraId="784DAC0F">
      <w:pPr>
        <w:pageBreakBefore w:val="0"/>
        <w:kinsoku/>
        <w:wordWrap w:val="0"/>
        <w:topLinePunct w:val="0"/>
        <w:bidi w:val="0"/>
        <w:snapToGrid/>
        <w:ind w:firstLine="544" w:firstLineChars="200"/>
        <w:textAlignment w:val="auto"/>
        <w:rPr>
          <w:rFonts w:hint="eastAsia" w:ascii="宋体" w:hAnsi="宋体" w:cs="宋体"/>
          <w:spacing w:val="-4"/>
          <w:sz w:val="28"/>
          <w:szCs w:val="28"/>
        </w:rPr>
      </w:pPr>
    </w:p>
    <w:p w14:paraId="6F604DC0">
      <w:pPr>
        <w:pageBreakBefore w:val="0"/>
        <w:kinsoku/>
        <w:wordWrap w:val="0"/>
        <w:topLinePunct w:val="0"/>
        <w:bidi w:val="0"/>
        <w:snapToGrid/>
        <w:ind w:firstLine="544" w:firstLineChars="200"/>
        <w:textAlignment w:val="auto"/>
        <w:rPr>
          <w:rFonts w:hint="eastAsia" w:ascii="宋体" w:hAnsi="宋体" w:cs="宋体"/>
          <w:spacing w:val="-4"/>
          <w:sz w:val="28"/>
          <w:szCs w:val="28"/>
        </w:rPr>
      </w:pPr>
      <w:r>
        <w:rPr>
          <w:rFonts w:hint="eastAsia" w:ascii="宋体" w:hAnsi="宋体" w:cs="宋体"/>
          <w:spacing w:val="-4"/>
          <w:sz w:val="28"/>
          <w:szCs w:val="28"/>
        </w:rPr>
        <w:t>1.0.1</w:t>
      </w:r>
      <w:r>
        <w:rPr>
          <w:rFonts w:hint="eastAsia" w:ascii="宋体" w:hAnsi="宋体" w:cs="宋体"/>
          <w:spacing w:val="-4"/>
          <w:sz w:val="28"/>
          <w:szCs w:val="28"/>
          <w:lang w:val="en-US" w:eastAsia="zh-CN"/>
        </w:rPr>
        <w:t xml:space="preserve">3 </w:t>
      </w:r>
      <w:r>
        <w:rPr>
          <w:rFonts w:hint="eastAsia" w:ascii="宋体" w:hAnsi="宋体" w:cs="宋体"/>
          <w:spacing w:val="-4"/>
          <w:sz w:val="28"/>
          <w:szCs w:val="28"/>
        </w:rPr>
        <w:t>疏散通道及楼梯地面未注明防滑特性。</w:t>
      </w:r>
    </w:p>
    <w:p w14:paraId="05FA3268">
      <w:pPr>
        <w:pageBreakBefore w:val="0"/>
        <w:kinsoku/>
        <w:wordWrap w:val="0"/>
        <w:topLinePunct w:val="0"/>
        <w:bidi w:val="0"/>
        <w:snapToGrid/>
        <w:ind w:firstLine="546" w:firstLineChars="200"/>
        <w:textAlignment w:val="auto"/>
        <w:rPr>
          <w:rFonts w:hint="eastAsia" w:ascii="宋体" w:hAnsi="宋体" w:cs="宋体"/>
          <w:b/>
          <w:bCs/>
          <w:spacing w:val="-4"/>
          <w:sz w:val="28"/>
          <w:szCs w:val="28"/>
        </w:rPr>
      </w:pPr>
      <w:r>
        <w:rPr>
          <w:rFonts w:hint="eastAsia" w:ascii="宋体" w:hAnsi="宋体" w:cs="宋体"/>
          <w:b/>
          <w:bCs/>
          <w:spacing w:val="-4"/>
          <w:sz w:val="28"/>
          <w:szCs w:val="28"/>
        </w:rPr>
        <w:t>依据：</w:t>
      </w:r>
      <w:r>
        <w:rPr>
          <w:rFonts w:hint="eastAsia" w:ascii="宋体" w:hAnsi="宋体" w:cs="宋体"/>
          <w:spacing w:val="-4"/>
          <w:sz w:val="28"/>
          <w:szCs w:val="28"/>
        </w:rPr>
        <w:t>《地铁设计防火标准》</w:t>
      </w:r>
      <w:r>
        <w:rPr>
          <w:rFonts w:hint="eastAsia" w:ascii="宋体" w:hAnsi="宋体" w:cs="宋体"/>
          <w:spacing w:val="-4"/>
          <w:sz w:val="28"/>
          <w:szCs w:val="28"/>
          <w:lang w:eastAsia="zh-CN"/>
        </w:rPr>
        <w:t>（</w:t>
      </w:r>
      <w:r>
        <w:rPr>
          <w:rFonts w:hint="eastAsia" w:ascii="宋体" w:hAnsi="宋体" w:cs="宋体"/>
          <w:spacing w:val="-4"/>
          <w:sz w:val="28"/>
          <w:szCs w:val="28"/>
        </w:rPr>
        <w:t>GB51298-2018</w:t>
      </w:r>
      <w:r>
        <w:rPr>
          <w:rFonts w:hint="eastAsia" w:ascii="宋体" w:hAnsi="宋体" w:cs="宋体"/>
          <w:spacing w:val="-4"/>
          <w:sz w:val="28"/>
          <w:szCs w:val="28"/>
          <w:lang w:eastAsia="zh-CN"/>
        </w:rPr>
        <w:t>）</w:t>
      </w:r>
      <w:r>
        <w:rPr>
          <w:rFonts w:hint="eastAsia" w:ascii="宋体" w:hAnsi="宋体" w:cs="宋体"/>
          <w:spacing w:val="-4"/>
          <w:sz w:val="28"/>
          <w:szCs w:val="28"/>
          <w:lang w:val="en-US" w:eastAsia="zh-CN"/>
        </w:rPr>
        <w:t>第</w:t>
      </w:r>
      <w:r>
        <w:rPr>
          <w:rFonts w:hint="eastAsia" w:ascii="宋体" w:hAnsi="宋体" w:cs="宋体"/>
          <w:spacing w:val="-4"/>
          <w:sz w:val="28"/>
          <w:szCs w:val="28"/>
        </w:rPr>
        <w:t>6.3.7</w:t>
      </w:r>
      <w:r>
        <w:rPr>
          <w:rFonts w:hint="eastAsia" w:ascii="宋体" w:hAnsi="宋体" w:cs="宋体"/>
          <w:spacing w:val="-4"/>
          <w:sz w:val="28"/>
          <w:szCs w:val="28"/>
          <w:lang w:val="en-US" w:eastAsia="zh-CN"/>
        </w:rPr>
        <w:t>条，</w:t>
      </w:r>
      <w:r>
        <w:rPr>
          <w:rFonts w:hint="eastAsia" w:ascii="宋体" w:hAnsi="宋体" w:cs="宋体"/>
          <w:spacing w:val="-4"/>
          <w:sz w:val="28"/>
          <w:szCs w:val="28"/>
        </w:rPr>
        <w:t>疏散通道和疏散楼梯的地面材料应具有防滑特性。</w:t>
      </w:r>
    </w:p>
    <w:p w14:paraId="54E7CE56">
      <w:pPr>
        <w:pageBreakBefore w:val="0"/>
        <w:kinsoku/>
        <w:wordWrap w:val="0"/>
        <w:topLinePunct w:val="0"/>
        <w:bidi w:val="0"/>
        <w:snapToGrid/>
        <w:ind w:firstLine="544" w:firstLineChars="200"/>
        <w:textAlignment w:val="auto"/>
        <w:rPr>
          <w:rFonts w:hint="eastAsia" w:ascii="宋体" w:hAnsi="宋体" w:cs="宋体"/>
          <w:spacing w:val="-4"/>
          <w:sz w:val="28"/>
          <w:szCs w:val="28"/>
        </w:rPr>
      </w:pPr>
      <w:r>
        <w:rPr>
          <w:rFonts w:hint="eastAsia" w:ascii="宋体" w:hAnsi="宋体" w:cs="宋体"/>
          <w:spacing w:val="-4"/>
          <w:sz w:val="28"/>
          <w:szCs w:val="28"/>
        </w:rPr>
        <w:t>案例：某线路车站及车辆基地等建筑的疏散通道及楼梯</w:t>
      </w:r>
      <w:r>
        <w:rPr>
          <w:rFonts w:hint="eastAsia" w:ascii="宋体" w:hAnsi="宋体" w:cs="宋体"/>
          <w:spacing w:val="-4"/>
          <w:sz w:val="28"/>
          <w:szCs w:val="28"/>
          <w:lang w:eastAsia="zh-CN"/>
        </w:rPr>
        <w:t>，</w:t>
      </w:r>
      <w:r>
        <w:rPr>
          <w:rFonts w:hint="eastAsia" w:ascii="宋体" w:hAnsi="宋体" w:cs="宋体"/>
          <w:spacing w:val="-4"/>
          <w:sz w:val="28"/>
          <w:szCs w:val="28"/>
        </w:rPr>
        <w:t>未注明采用防滑材料及防滑系数。</w:t>
      </w:r>
    </w:p>
    <w:bookmarkEnd w:id="1"/>
    <w:p w14:paraId="5A1CD275">
      <w:pPr>
        <w:pageBreakBefore w:val="0"/>
        <w:kinsoku/>
        <w:wordWrap w:val="0"/>
        <w:topLinePunct w:val="0"/>
        <w:bidi w:val="0"/>
        <w:snapToGrid/>
        <w:ind w:firstLine="544" w:firstLineChars="200"/>
        <w:textAlignment w:val="auto"/>
        <w:rPr>
          <w:rFonts w:hint="eastAsia" w:ascii="宋体" w:hAnsi="宋体" w:cs="宋体"/>
          <w:spacing w:val="-4"/>
          <w:sz w:val="28"/>
          <w:szCs w:val="28"/>
        </w:rPr>
      </w:pPr>
    </w:p>
    <w:p w14:paraId="280205D9">
      <w:pPr>
        <w:pageBreakBefore w:val="0"/>
        <w:kinsoku/>
        <w:wordWrap w:val="0"/>
        <w:topLinePunct w:val="0"/>
        <w:bidi w:val="0"/>
        <w:snapToGrid/>
        <w:ind w:firstLine="544" w:firstLineChars="200"/>
        <w:textAlignment w:val="auto"/>
        <w:rPr>
          <w:rFonts w:hint="eastAsia" w:ascii="宋体" w:hAnsi="宋体" w:cs="宋体"/>
          <w:spacing w:val="-4"/>
          <w:sz w:val="28"/>
          <w:szCs w:val="28"/>
        </w:rPr>
      </w:pPr>
      <w:r>
        <w:rPr>
          <w:rFonts w:hint="eastAsia" w:ascii="宋体" w:hAnsi="宋体" w:cs="宋体"/>
          <w:spacing w:val="-4"/>
          <w:sz w:val="28"/>
          <w:szCs w:val="28"/>
        </w:rPr>
        <w:t>1.0.1</w:t>
      </w:r>
      <w:r>
        <w:rPr>
          <w:rFonts w:hint="eastAsia" w:ascii="宋体" w:hAnsi="宋体" w:cs="宋体"/>
          <w:spacing w:val="-4"/>
          <w:sz w:val="28"/>
          <w:szCs w:val="28"/>
          <w:lang w:val="en-US" w:eastAsia="zh-CN"/>
        </w:rPr>
        <w:t xml:space="preserve">4 </w:t>
      </w:r>
      <w:r>
        <w:rPr>
          <w:rFonts w:hint="eastAsia" w:ascii="宋体" w:hAnsi="宋体" w:cs="宋体"/>
          <w:spacing w:val="-4"/>
          <w:sz w:val="28"/>
          <w:szCs w:val="28"/>
        </w:rPr>
        <w:t>车站环控机房或其它设备用房两个疏散门之间水平距离小于5m。</w:t>
      </w:r>
    </w:p>
    <w:p w14:paraId="4E72F14F">
      <w:pPr>
        <w:pageBreakBefore w:val="0"/>
        <w:kinsoku/>
        <w:wordWrap w:val="0"/>
        <w:topLinePunct w:val="0"/>
        <w:bidi w:val="0"/>
        <w:snapToGrid/>
        <w:ind w:firstLine="546" w:firstLineChars="200"/>
        <w:textAlignment w:val="auto"/>
        <w:rPr>
          <w:rFonts w:hint="eastAsia" w:ascii="宋体" w:hAnsi="宋体" w:cs="宋体"/>
          <w:b/>
          <w:bCs/>
          <w:spacing w:val="-4"/>
          <w:sz w:val="28"/>
          <w:szCs w:val="28"/>
        </w:rPr>
      </w:pPr>
      <w:r>
        <w:rPr>
          <w:rFonts w:hint="eastAsia" w:ascii="宋体" w:hAnsi="宋体" w:cs="宋体"/>
          <w:b/>
          <w:bCs/>
          <w:spacing w:val="-4"/>
          <w:sz w:val="28"/>
          <w:szCs w:val="28"/>
        </w:rPr>
        <w:t>依据：</w:t>
      </w:r>
      <w:r>
        <w:rPr>
          <w:rFonts w:hint="eastAsia" w:ascii="宋体" w:hAnsi="宋体" w:cs="宋体"/>
          <w:bCs/>
          <w:color w:val="000000"/>
          <w:sz w:val="28"/>
          <w:szCs w:val="28"/>
        </w:rPr>
        <w:t>《建筑设计防火规范》（GB50016-2014</w:t>
      </w:r>
      <w:r>
        <w:rPr>
          <w:rFonts w:hint="eastAsia" w:ascii="宋体" w:hAnsi="宋体" w:cs="宋体"/>
          <w:spacing w:val="-4"/>
          <w:sz w:val="28"/>
          <w:szCs w:val="28"/>
        </w:rPr>
        <w:t>（2018版）</w:t>
      </w:r>
      <w:r>
        <w:rPr>
          <w:rFonts w:hint="eastAsia" w:ascii="宋体" w:hAnsi="宋体" w:cs="宋体"/>
          <w:bCs/>
          <w:color w:val="000000"/>
          <w:sz w:val="28"/>
          <w:szCs w:val="28"/>
        </w:rPr>
        <w:t>）</w:t>
      </w:r>
      <w:r>
        <w:rPr>
          <w:rFonts w:hint="eastAsia" w:ascii="宋体" w:hAnsi="宋体" w:cs="宋体"/>
          <w:spacing w:val="-4"/>
          <w:sz w:val="28"/>
          <w:szCs w:val="28"/>
        </w:rPr>
        <w:t>第5.5.2条</w:t>
      </w:r>
      <w:r>
        <w:rPr>
          <w:rFonts w:hint="eastAsia" w:ascii="宋体" w:hAnsi="宋体" w:cs="宋体"/>
          <w:spacing w:val="-4"/>
          <w:sz w:val="28"/>
          <w:szCs w:val="28"/>
          <w:lang w:eastAsia="zh-CN"/>
        </w:rPr>
        <w:t>，</w:t>
      </w:r>
      <w:r>
        <w:rPr>
          <w:rFonts w:hint="eastAsia" w:ascii="宋体" w:hAnsi="宋体" w:cs="宋体"/>
          <w:spacing w:val="-4"/>
          <w:sz w:val="28"/>
          <w:szCs w:val="28"/>
        </w:rPr>
        <w:t>每个房间相邻两个疏散门最近边缘之间的水平距离不应小于5m。</w:t>
      </w:r>
    </w:p>
    <w:p w14:paraId="6D00FC36">
      <w:pPr>
        <w:pageBreakBefore w:val="0"/>
        <w:kinsoku/>
        <w:wordWrap w:val="0"/>
        <w:topLinePunct w:val="0"/>
        <w:bidi w:val="0"/>
        <w:snapToGrid/>
        <w:ind w:firstLine="544" w:firstLineChars="200"/>
        <w:textAlignment w:val="auto"/>
        <w:rPr>
          <w:rFonts w:hint="eastAsia" w:ascii="宋体" w:hAnsi="宋体" w:cs="宋体"/>
          <w:spacing w:val="-4"/>
          <w:sz w:val="28"/>
          <w:szCs w:val="28"/>
        </w:rPr>
      </w:pPr>
      <w:r>
        <w:rPr>
          <w:rFonts w:hint="eastAsia" w:ascii="宋体" w:hAnsi="宋体" w:cs="宋体"/>
          <w:spacing w:val="-4"/>
          <w:sz w:val="28"/>
          <w:szCs w:val="28"/>
        </w:rPr>
        <w:t>案例：某车站环控机房两个疏散门之间水平距离4.</w:t>
      </w:r>
      <w:r>
        <w:rPr>
          <w:rFonts w:hint="eastAsia" w:ascii="宋体" w:hAnsi="宋体" w:cs="宋体"/>
          <w:spacing w:val="-4"/>
          <w:sz w:val="28"/>
          <w:szCs w:val="28"/>
          <w:lang w:val="en-US" w:eastAsia="zh-CN"/>
        </w:rPr>
        <w:t>15</w:t>
      </w:r>
      <w:r>
        <w:rPr>
          <w:rFonts w:hint="eastAsia" w:ascii="宋体" w:hAnsi="宋体" w:cs="宋体"/>
          <w:spacing w:val="-4"/>
          <w:sz w:val="28"/>
          <w:szCs w:val="28"/>
        </w:rPr>
        <w:t>m</w:t>
      </w:r>
      <w:r>
        <w:rPr>
          <w:rFonts w:hint="eastAsia" w:ascii="宋体" w:hAnsi="宋体" w:cs="宋体"/>
          <w:color w:val="000000"/>
          <w:sz w:val="28"/>
          <w:lang w:eastAsia="zh-CN"/>
        </w:rPr>
        <w:t>，不满足上述规范要求</w:t>
      </w:r>
      <w:r>
        <w:rPr>
          <w:rFonts w:hint="eastAsia" w:ascii="宋体" w:hAnsi="宋体" w:cs="宋体"/>
          <w:spacing w:val="-4"/>
          <w:sz w:val="28"/>
          <w:szCs w:val="28"/>
        </w:rPr>
        <w:t>。</w:t>
      </w:r>
    </w:p>
    <w:p w14:paraId="492D5627">
      <w:pPr>
        <w:pageBreakBefore w:val="0"/>
        <w:kinsoku/>
        <w:wordWrap w:val="0"/>
        <w:topLinePunct w:val="0"/>
        <w:bidi w:val="0"/>
        <w:snapToGrid/>
        <w:ind w:firstLine="420" w:firstLineChars="200"/>
        <w:jc w:val="center"/>
        <w:textAlignment w:val="auto"/>
        <w:rPr>
          <w:rFonts w:hint="eastAsia" w:ascii="宋体" w:hAnsi="宋体" w:cs="宋体"/>
          <w:spacing w:val="-4"/>
          <w:sz w:val="28"/>
          <w:szCs w:val="28"/>
        </w:rPr>
      </w:pPr>
      <w:r>
        <w:rPr>
          <w:rFonts w:hint="eastAsia" w:ascii="宋体" w:hAnsi="宋体" w:cs="宋体"/>
        </w:rPr>
        <w:drawing>
          <wp:inline distT="0" distB="0" distL="0" distR="0">
            <wp:extent cx="4820920" cy="3867150"/>
            <wp:effectExtent l="0" t="0" r="17779" b="0"/>
            <wp:docPr id="15"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图片 1"/>
                    <pic:cNvPicPr>
                      <a:picLocks noChangeAspect="1"/>
                    </pic:cNvPicPr>
                  </pic:nvPicPr>
                  <pic:blipFill>
                    <a:blip r:embed="rId12"/>
                    <a:srcRect t="12995"/>
                    <a:stretch>
                      <a:fillRect/>
                    </a:stretch>
                  </pic:blipFill>
                  <pic:spPr>
                    <a:xfrm>
                      <a:off x="0" y="0"/>
                      <a:ext cx="4820920" cy="3867150"/>
                    </a:xfrm>
                    <a:prstGeom prst="rect">
                      <a:avLst/>
                    </a:prstGeom>
                    <a:noFill/>
                    <a:ln cap="flat" cmpd="sng">
                      <a:noFill/>
                      <a:prstDash val="solid"/>
                      <a:round/>
                    </a:ln>
                  </pic:spPr>
                </pic:pic>
              </a:graphicData>
            </a:graphic>
          </wp:inline>
        </w:drawing>
      </w:r>
    </w:p>
    <w:p w14:paraId="301DE68C">
      <w:pPr>
        <w:pageBreakBefore w:val="0"/>
        <w:widowControl/>
        <w:kinsoku/>
        <w:wordWrap w:val="0"/>
        <w:topLinePunct w:val="0"/>
        <w:bidi w:val="0"/>
        <w:snapToGrid/>
        <w:jc w:val="left"/>
        <w:textAlignment w:val="auto"/>
        <w:rPr>
          <w:rFonts w:hint="eastAsia" w:ascii="宋体" w:hAnsi="宋体" w:cs="宋体"/>
          <w:bCs/>
          <w:color w:val="000000"/>
          <w:sz w:val="28"/>
          <w:szCs w:val="28"/>
        </w:rPr>
      </w:pPr>
    </w:p>
    <w:p w14:paraId="04891707">
      <w:pPr>
        <w:pageBreakBefore w:val="0"/>
        <w:kinsoku/>
        <w:wordWrap w:val="0"/>
        <w:topLinePunct w:val="0"/>
        <w:bidi w:val="0"/>
        <w:snapToGrid/>
        <w:textAlignment w:val="auto"/>
        <w:rPr>
          <w:rFonts w:hint="eastAsia" w:ascii="方正黑体_GBK" w:hAnsi="Times New Roman" w:eastAsia="方正黑体_GBK" w:cs="Times New Roman"/>
          <w:sz w:val="32"/>
          <w:szCs w:val="32"/>
        </w:rPr>
      </w:pPr>
      <w:r>
        <w:rPr>
          <w:rFonts w:hint="eastAsia" w:ascii="方正黑体_GBK" w:hAnsi="Times New Roman" w:eastAsia="方正黑体_GBK" w:cs="Times New Roman"/>
          <w:sz w:val="32"/>
          <w:szCs w:val="32"/>
        </w:rPr>
        <w:br w:type="page"/>
      </w:r>
    </w:p>
    <w:p w14:paraId="4E0457CD">
      <w:pPr>
        <w:pageBreakBefore w:val="0"/>
        <w:kinsoku/>
        <w:wordWrap w:val="0"/>
        <w:overflowPunct w:val="0"/>
        <w:topLinePunct w:val="0"/>
        <w:bidi w:val="0"/>
        <w:snapToGrid/>
        <w:spacing w:line="240" w:lineRule="auto"/>
        <w:ind w:firstLine="0"/>
        <w:jc w:val="center"/>
        <w:textAlignment w:val="auto"/>
        <w:outlineLvl w:val="0"/>
        <w:rPr>
          <w:rFonts w:hint="eastAsia" w:ascii="方正黑体_GBK" w:hAnsi="Times New Roman" w:eastAsia="方正黑体_GBK" w:cs="Times New Roman"/>
          <w:sz w:val="32"/>
          <w:szCs w:val="32"/>
        </w:rPr>
      </w:pPr>
      <w:r>
        <w:rPr>
          <w:rFonts w:hint="eastAsia" w:ascii="方正黑体_GBK" w:hAnsi="Times New Roman" w:eastAsia="方正黑体_GBK" w:cs="Times New Roman"/>
          <w:sz w:val="32"/>
          <w:szCs w:val="32"/>
        </w:rPr>
        <w:t>2 结构</w:t>
      </w:r>
    </w:p>
    <w:p w14:paraId="6963E710">
      <w:pPr>
        <w:pageBreakBefore w:val="0"/>
        <w:kinsoku/>
        <w:wordWrap w:val="0"/>
        <w:overflowPunct w:val="0"/>
        <w:topLinePunct w:val="0"/>
        <w:bidi w:val="0"/>
        <w:snapToGrid/>
        <w:spacing w:line="240" w:lineRule="auto"/>
        <w:ind w:left="0" w:firstLine="560" w:firstLineChars="200"/>
        <w:jc w:val="both"/>
        <w:textAlignment w:val="auto"/>
        <w:rPr>
          <w:rFonts w:hint="eastAsia" w:ascii="宋体" w:hAnsi="宋体" w:eastAsia="宋体" w:cs="宋体"/>
          <w:b w:val="0"/>
          <w:bCs w:val="0"/>
          <w:color w:val="auto"/>
          <w:sz w:val="28"/>
          <w:szCs w:val="28"/>
        </w:rPr>
      </w:pPr>
      <w:r>
        <w:rPr>
          <w:rFonts w:hint="eastAsia" w:ascii="宋体" w:hAnsi="宋体" w:eastAsia="宋体" w:cs="宋体"/>
          <w:b w:val="0"/>
          <w:bCs w:val="0"/>
          <w:color w:val="auto"/>
          <w:sz w:val="28"/>
          <w:szCs w:val="28"/>
        </w:rPr>
        <w:t>2.0.</w:t>
      </w:r>
      <w:r>
        <w:rPr>
          <w:rFonts w:hint="eastAsia" w:ascii="宋体" w:hAnsi="宋体" w:eastAsia="宋体" w:cs="宋体"/>
          <w:b w:val="0"/>
          <w:bCs w:val="0"/>
          <w:color w:val="auto"/>
          <w:sz w:val="28"/>
          <w:szCs w:val="28"/>
          <w:lang w:val="en-US" w:eastAsia="zh-CN"/>
        </w:rPr>
        <w:t>1</w:t>
      </w:r>
      <w:r>
        <w:rPr>
          <w:rFonts w:hint="eastAsia" w:ascii="宋体" w:hAnsi="宋体" w:eastAsia="宋体" w:cs="宋体"/>
          <w:b w:val="0"/>
          <w:bCs w:val="0"/>
          <w:color w:val="auto"/>
          <w:sz w:val="28"/>
          <w:szCs w:val="28"/>
        </w:rPr>
        <w:t xml:space="preserve"> 防火墙未</w:t>
      </w:r>
      <w:r>
        <w:rPr>
          <w:rFonts w:hint="eastAsia" w:ascii="宋体" w:hAnsi="宋体" w:eastAsia="宋体" w:cs="宋体"/>
          <w:b w:val="0"/>
          <w:bCs w:val="0"/>
          <w:color w:val="auto"/>
          <w:sz w:val="28"/>
          <w:szCs w:val="28"/>
          <w:lang w:val="en-US" w:eastAsia="zh-CN"/>
        </w:rPr>
        <w:t>直接</w:t>
      </w:r>
      <w:r>
        <w:rPr>
          <w:rFonts w:hint="eastAsia" w:ascii="宋体" w:hAnsi="宋体" w:eastAsia="宋体" w:cs="宋体"/>
          <w:b w:val="0"/>
          <w:bCs w:val="0"/>
          <w:color w:val="auto"/>
          <w:sz w:val="28"/>
          <w:szCs w:val="28"/>
        </w:rPr>
        <w:t>设置于基础</w:t>
      </w:r>
      <w:r>
        <w:rPr>
          <w:rFonts w:hint="eastAsia" w:ascii="宋体" w:hAnsi="宋体" w:eastAsia="宋体" w:cs="宋体"/>
          <w:b w:val="0"/>
          <w:bCs w:val="0"/>
          <w:color w:val="auto"/>
          <w:sz w:val="28"/>
          <w:szCs w:val="28"/>
          <w:lang w:val="en-US" w:eastAsia="zh-CN"/>
        </w:rPr>
        <w:t>或</w:t>
      </w:r>
      <w:r>
        <w:rPr>
          <w:rFonts w:hint="eastAsia" w:ascii="宋体" w:hAnsi="宋体" w:eastAsia="宋体" w:cs="宋体"/>
          <w:b w:val="0"/>
          <w:bCs w:val="0"/>
          <w:color w:val="auto"/>
          <w:sz w:val="28"/>
          <w:szCs w:val="28"/>
        </w:rPr>
        <w:t>框架梁</w:t>
      </w:r>
      <w:r>
        <w:rPr>
          <w:rFonts w:hint="eastAsia" w:ascii="宋体" w:hAnsi="宋体" w:eastAsia="宋体" w:cs="宋体"/>
          <w:b w:val="0"/>
          <w:bCs w:val="0"/>
          <w:color w:val="auto"/>
          <w:sz w:val="28"/>
          <w:szCs w:val="28"/>
          <w:lang w:val="en-US" w:eastAsia="zh-CN"/>
        </w:rPr>
        <w:t>等</w:t>
      </w:r>
      <w:r>
        <w:rPr>
          <w:rFonts w:hint="eastAsia" w:ascii="宋体" w:hAnsi="宋体" w:eastAsia="宋体" w:cs="宋体"/>
          <w:b w:val="0"/>
          <w:bCs w:val="0"/>
          <w:color w:val="auto"/>
          <w:sz w:val="28"/>
          <w:szCs w:val="28"/>
        </w:rPr>
        <w:t>承重结构上，支承防火墙的承重结构构件的耐火极限低于防火墙的耐火极限。</w:t>
      </w:r>
    </w:p>
    <w:p w14:paraId="086E5E48">
      <w:pPr>
        <w:pageBreakBefore w:val="0"/>
        <w:kinsoku/>
        <w:wordWrap w:val="0"/>
        <w:overflowPunct w:val="0"/>
        <w:topLinePunct w:val="0"/>
        <w:bidi w:val="0"/>
        <w:snapToGrid/>
        <w:spacing w:line="240" w:lineRule="auto"/>
        <w:ind w:firstLine="562"/>
        <w:textAlignment w:val="auto"/>
        <w:rPr>
          <w:rFonts w:hint="eastAsia" w:ascii="宋体" w:hAnsi="宋体" w:eastAsia="宋体" w:cs="宋体"/>
          <w:color w:val="auto"/>
          <w:sz w:val="28"/>
          <w:szCs w:val="28"/>
        </w:rPr>
      </w:pPr>
      <w:r>
        <w:rPr>
          <w:rFonts w:hint="eastAsia" w:ascii="宋体" w:hAnsi="宋体" w:eastAsia="宋体" w:cs="宋体"/>
          <w:b/>
          <w:bCs/>
          <w:color w:val="auto"/>
          <w:sz w:val="28"/>
          <w:szCs w:val="28"/>
        </w:rPr>
        <w:t>依据：</w:t>
      </w:r>
      <w:r>
        <w:rPr>
          <w:rFonts w:hint="eastAsia" w:ascii="宋体" w:hAnsi="宋体" w:eastAsia="宋体" w:cs="宋体"/>
          <w:color w:val="auto"/>
          <w:sz w:val="28"/>
          <w:szCs w:val="28"/>
        </w:rPr>
        <w:t>《建筑防火通用规范》（GB55037-2022）</w:t>
      </w:r>
      <w:r>
        <w:rPr>
          <w:rFonts w:hint="eastAsia" w:ascii="宋体" w:hAnsi="宋体" w:cs="宋体"/>
          <w:color w:val="auto"/>
          <w:sz w:val="28"/>
          <w:szCs w:val="28"/>
          <w:lang w:val="en-US" w:eastAsia="zh-CN"/>
        </w:rPr>
        <w:t>第</w:t>
      </w:r>
      <w:r>
        <w:rPr>
          <w:rFonts w:hint="eastAsia" w:ascii="宋体" w:hAnsi="宋体" w:eastAsia="宋体" w:cs="宋体"/>
          <w:color w:val="auto"/>
          <w:sz w:val="28"/>
          <w:szCs w:val="28"/>
        </w:rPr>
        <w:t>6.1.1</w:t>
      </w:r>
      <w:r>
        <w:rPr>
          <w:rFonts w:hint="eastAsia" w:ascii="宋体" w:hAnsi="宋体" w:cs="宋体"/>
          <w:color w:val="auto"/>
          <w:sz w:val="28"/>
          <w:szCs w:val="28"/>
          <w:lang w:val="en-US" w:eastAsia="zh-CN"/>
        </w:rPr>
        <w:t>条</w:t>
      </w:r>
      <w:r>
        <w:rPr>
          <w:rFonts w:hint="eastAsia" w:ascii="宋体" w:hAnsi="宋体" w:eastAsia="宋体" w:cs="宋体"/>
          <w:color w:val="auto"/>
          <w:sz w:val="28"/>
          <w:szCs w:val="28"/>
          <w:lang w:val="en-US" w:eastAsia="zh-CN"/>
        </w:rPr>
        <w:t>，</w:t>
      </w:r>
      <w:r>
        <w:rPr>
          <w:rFonts w:hint="eastAsia" w:ascii="宋体" w:hAnsi="宋体" w:eastAsia="宋体" w:cs="宋体"/>
          <w:color w:val="auto"/>
          <w:sz w:val="28"/>
          <w:szCs w:val="28"/>
        </w:rPr>
        <w:t>防火墙应直接设置在建筑的基础或具有相应耐火性能的框架梁等承重结构上，并应从楼地面基层隔断至结构梁、楼板或屋面板的底面。</w:t>
      </w:r>
    </w:p>
    <w:p w14:paraId="403D41B0">
      <w:pPr>
        <w:pageBreakBefore w:val="0"/>
        <w:kinsoku/>
        <w:wordWrap w:val="0"/>
        <w:overflowPunct w:val="0"/>
        <w:topLinePunct w:val="0"/>
        <w:bidi w:val="0"/>
        <w:snapToGrid/>
        <w:spacing w:line="240" w:lineRule="auto"/>
        <w:ind w:firstLine="560"/>
        <w:textAlignment w:val="auto"/>
        <w:rPr>
          <w:rFonts w:hint="eastAsia" w:ascii="宋体" w:hAnsi="宋体" w:eastAsia="宋体" w:cs="宋体"/>
          <w:color w:val="auto"/>
          <w:sz w:val="28"/>
          <w:szCs w:val="28"/>
        </w:rPr>
      </w:pPr>
      <w:r>
        <w:rPr>
          <w:rFonts w:hint="eastAsia" w:ascii="宋体" w:hAnsi="宋体" w:eastAsia="宋体" w:cs="宋体"/>
          <w:color w:val="auto"/>
          <w:sz w:val="28"/>
          <w:szCs w:val="28"/>
        </w:rPr>
        <w:t>案例</w:t>
      </w:r>
      <w:r>
        <w:rPr>
          <w:rFonts w:hint="eastAsia" w:ascii="宋体" w:hAnsi="宋体" w:eastAsia="宋体" w:cs="宋体"/>
          <w:color w:val="auto"/>
          <w:sz w:val="28"/>
          <w:szCs w:val="28"/>
          <w:lang w:val="en-US" w:eastAsia="zh-CN"/>
        </w:rPr>
        <w:t>1</w:t>
      </w:r>
      <w:r>
        <w:rPr>
          <w:rFonts w:hint="eastAsia" w:ascii="宋体" w:hAnsi="宋体" w:eastAsia="宋体" w:cs="宋体"/>
          <w:color w:val="auto"/>
          <w:sz w:val="28"/>
          <w:szCs w:val="28"/>
        </w:rPr>
        <w:t>：某多层综合楼地下室，负一层地下室建筑防火墙直接设置在楼板上，</w:t>
      </w:r>
      <w:r>
        <w:rPr>
          <w:rFonts w:hint="eastAsia" w:ascii="宋体" w:hAnsi="宋体" w:eastAsia="宋体" w:cs="宋体"/>
          <w:color w:val="auto"/>
          <w:sz w:val="28"/>
          <w:szCs w:val="28"/>
          <w:lang w:val="en-US" w:eastAsia="zh-CN"/>
        </w:rPr>
        <w:t>不</w:t>
      </w:r>
      <w:r>
        <w:rPr>
          <w:rFonts w:hint="eastAsia" w:ascii="宋体" w:hAnsi="宋体" w:eastAsia="宋体" w:cs="宋体"/>
          <w:color w:val="auto"/>
          <w:sz w:val="28"/>
          <w:szCs w:val="28"/>
        </w:rPr>
        <w:t>满足防火墙应直接设置在具有相应耐火性能的框架梁等承重结构上</w:t>
      </w:r>
      <w:r>
        <w:rPr>
          <w:rFonts w:hint="eastAsia" w:ascii="宋体" w:hAnsi="宋体" w:eastAsia="宋体" w:cs="宋体"/>
          <w:color w:val="auto"/>
          <w:sz w:val="28"/>
          <w:szCs w:val="28"/>
          <w:lang w:val="en-US" w:eastAsia="zh-CN"/>
        </w:rPr>
        <w:t>的要求</w:t>
      </w:r>
      <w:r>
        <w:rPr>
          <w:rFonts w:hint="eastAsia" w:ascii="宋体" w:hAnsi="宋体" w:eastAsia="宋体" w:cs="宋体"/>
          <w:color w:val="auto"/>
          <w:sz w:val="28"/>
          <w:szCs w:val="28"/>
        </w:rPr>
        <w:t>。</w:t>
      </w:r>
    </w:p>
    <w:p w14:paraId="79A937A2">
      <w:pPr>
        <w:pageBreakBefore w:val="0"/>
        <w:kinsoku/>
        <w:wordWrap w:val="0"/>
        <w:overflowPunct w:val="0"/>
        <w:topLinePunct w:val="0"/>
        <w:bidi w:val="0"/>
        <w:snapToGrid/>
        <w:spacing w:line="240" w:lineRule="auto"/>
        <w:ind w:firstLine="560"/>
        <w:textAlignment w:val="auto"/>
        <w:rPr>
          <w:rFonts w:hint="eastAsia" w:ascii="宋体" w:hAnsi="宋体" w:eastAsia="宋体" w:cs="宋体"/>
          <w:color w:val="auto"/>
          <w:sz w:val="28"/>
          <w:szCs w:val="28"/>
          <w:lang w:val="en-US" w:eastAsia="zh-CN"/>
        </w:rPr>
      </w:pPr>
      <w:r>
        <w:rPr>
          <w:rFonts w:hint="eastAsia" w:ascii="宋体" w:hAnsi="宋体" w:eastAsia="宋体" w:cs="宋体"/>
          <w:color w:val="auto"/>
          <w:sz w:val="28"/>
          <w:szCs w:val="28"/>
          <w:lang w:val="en-US" w:eastAsia="zh-CN"/>
        </w:rPr>
        <w:t>案例2：某轨道项目的弧形防火墙部分直接设置于楼板上，未设置于结构梁上。</w:t>
      </w:r>
    </w:p>
    <w:p w14:paraId="08D13F7A">
      <w:pPr>
        <w:pageBreakBefore w:val="0"/>
        <w:kinsoku/>
        <w:wordWrap w:val="0"/>
        <w:overflowPunct w:val="0"/>
        <w:topLinePunct w:val="0"/>
        <w:bidi w:val="0"/>
        <w:snapToGrid/>
        <w:spacing w:line="240" w:lineRule="auto"/>
        <w:ind w:firstLine="560"/>
        <w:textAlignment w:val="auto"/>
        <w:rPr>
          <w:rFonts w:hint="eastAsia" w:ascii="宋体" w:hAnsi="宋体" w:eastAsia="宋体" w:cs="宋体"/>
          <w:color w:val="auto"/>
          <w:sz w:val="28"/>
          <w:szCs w:val="28"/>
        </w:rPr>
      </w:pPr>
    </w:p>
    <w:p w14:paraId="62ABE864">
      <w:pPr>
        <w:pageBreakBefore w:val="0"/>
        <w:kinsoku/>
        <w:wordWrap w:val="0"/>
        <w:overflowPunct w:val="0"/>
        <w:topLinePunct w:val="0"/>
        <w:bidi w:val="0"/>
        <w:snapToGrid/>
        <w:spacing w:line="240" w:lineRule="auto"/>
        <w:ind w:left="0" w:firstLine="560" w:firstLineChars="200"/>
        <w:jc w:val="both"/>
        <w:textAlignment w:val="auto"/>
        <w:rPr>
          <w:rFonts w:hint="eastAsia" w:ascii="宋体" w:hAnsi="宋体" w:eastAsia="宋体" w:cs="宋体"/>
          <w:b w:val="0"/>
          <w:bCs w:val="0"/>
          <w:color w:val="auto"/>
          <w:sz w:val="28"/>
          <w:szCs w:val="28"/>
        </w:rPr>
      </w:pPr>
      <w:r>
        <w:rPr>
          <w:rFonts w:hint="eastAsia" w:ascii="宋体" w:hAnsi="宋体" w:eastAsia="宋体" w:cs="宋体"/>
          <w:b w:val="0"/>
          <w:bCs w:val="0"/>
          <w:color w:val="auto"/>
          <w:sz w:val="28"/>
          <w:szCs w:val="28"/>
        </w:rPr>
        <w:t>2.0.</w:t>
      </w:r>
      <w:r>
        <w:rPr>
          <w:rFonts w:hint="eastAsia" w:ascii="宋体" w:hAnsi="宋体" w:eastAsia="宋体" w:cs="宋体"/>
          <w:b w:val="0"/>
          <w:bCs w:val="0"/>
          <w:color w:val="auto"/>
          <w:sz w:val="28"/>
          <w:szCs w:val="28"/>
          <w:lang w:val="en-US" w:eastAsia="zh-CN"/>
        </w:rPr>
        <w:t>2</w:t>
      </w:r>
      <w:r>
        <w:rPr>
          <w:rFonts w:hint="eastAsia" w:ascii="宋体" w:hAnsi="宋体" w:eastAsia="宋体" w:cs="宋体"/>
          <w:b w:val="0"/>
          <w:bCs w:val="0"/>
          <w:color w:val="auto"/>
          <w:sz w:val="28"/>
          <w:szCs w:val="28"/>
        </w:rPr>
        <w:t xml:space="preserve"> 混凝土梁的保护层厚度</w:t>
      </w:r>
      <w:r>
        <w:rPr>
          <w:rFonts w:hint="eastAsia" w:ascii="宋体" w:hAnsi="宋体" w:eastAsia="宋体" w:cs="宋体"/>
          <w:b w:val="0"/>
          <w:bCs w:val="0"/>
          <w:color w:val="auto"/>
          <w:sz w:val="28"/>
          <w:szCs w:val="28"/>
          <w:lang w:val="en-US" w:eastAsia="zh-CN"/>
        </w:rPr>
        <w:t>不满足耐火极限要求</w:t>
      </w:r>
      <w:r>
        <w:rPr>
          <w:rFonts w:hint="eastAsia" w:ascii="宋体" w:hAnsi="宋体" w:eastAsia="宋体" w:cs="宋体"/>
          <w:b w:val="0"/>
          <w:bCs w:val="0"/>
          <w:color w:val="auto"/>
          <w:sz w:val="28"/>
          <w:szCs w:val="28"/>
        </w:rPr>
        <w:t>。</w:t>
      </w:r>
    </w:p>
    <w:p w14:paraId="45E1F8DA">
      <w:pPr>
        <w:pageBreakBefore w:val="0"/>
        <w:kinsoku/>
        <w:wordWrap w:val="0"/>
        <w:overflowPunct w:val="0"/>
        <w:topLinePunct w:val="0"/>
        <w:bidi w:val="0"/>
        <w:snapToGrid/>
        <w:spacing w:line="240" w:lineRule="auto"/>
        <w:ind w:firstLine="562"/>
        <w:textAlignment w:val="auto"/>
        <w:rPr>
          <w:rFonts w:hint="eastAsia" w:ascii="宋体" w:hAnsi="宋体" w:eastAsia="宋体" w:cs="宋体"/>
          <w:color w:val="auto"/>
          <w:sz w:val="28"/>
          <w:szCs w:val="28"/>
        </w:rPr>
      </w:pPr>
      <w:r>
        <w:rPr>
          <w:rFonts w:hint="eastAsia" w:ascii="宋体" w:hAnsi="宋体" w:eastAsia="宋体" w:cs="宋体"/>
          <w:b/>
          <w:bCs/>
          <w:color w:val="auto"/>
          <w:sz w:val="28"/>
          <w:szCs w:val="28"/>
        </w:rPr>
        <w:t>依据：</w:t>
      </w:r>
      <w:r>
        <w:rPr>
          <w:rFonts w:hint="eastAsia" w:ascii="宋体" w:hAnsi="宋体" w:eastAsia="宋体" w:cs="宋体"/>
          <w:color w:val="auto"/>
          <w:sz w:val="28"/>
          <w:szCs w:val="28"/>
        </w:rPr>
        <w:t>《建筑设计防火规范》（GB50016-2014（2018年版））第3.2.1条和第5.1.2条，耐火等级为一级时，梁的耐火极限应达到2h</w:t>
      </w:r>
      <w:r>
        <w:rPr>
          <w:rFonts w:hint="eastAsia" w:ascii="宋体" w:hAnsi="宋体" w:cs="宋体"/>
          <w:color w:val="auto"/>
          <w:sz w:val="28"/>
          <w:szCs w:val="28"/>
          <w:lang w:eastAsia="zh-CN"/>
        </w:rPr>
        <w:t>；</w:t>
      </w:r>
      <w:r>
        <w:rPr>
          <w:rFonts w:hint="eastAsia" w:ascii="宋体" w:hAnsi="宋体" w:eastAsia="宋体" w:cs="宋体"/>
          <w:color w:val="auto"/>
          <w:sz w:val="28"/>
          <w:szCs w:val="28"/>
        </w:rPr>
        <w:t>《建筑设计防火规范》</w:t>
      </w:r>
      <w:r>
        <w:rPr>
          <w:rFonts w:hint="eastAsia" w:ascii="宋体" w:hAnsi="宋体" w:eastAsia="宋体" w:cs="宋体"/>
          <w:color w:val="auto"/>
          <w:sz w:val="28"/>
          <w:szCs w:val="28"/>
          <w:lang w:eastAsia="zh-CN"/>
        </w:rPr>
        <w:t>（</w:t>
      </w:r>
      <w:r>
        <w:rPr>
          <w:rFonts w:hint="eastAsia" w:ascii="宋体" w:hAnsi="宋体" w:eastAsia="宋体" w:cs="宋体"/>
          <w:color w:val="auto"/>
          <w:sz w:val="28"/>
          <w:szCs w:val="28"/>
        </w:rPr>
        <w:t>GB50016-2014（2018年版））附表1</w:t>
      </w:r>
      <w:r>
        <w:rPr>
          <w:rFonts w:hint="eastAsia" w:ascii="宋体" w:hAnsi="宋体" w:eastAsia="宋体" w:cs="宋体"/>
          <w:color w:val="auto"/>
          <w:sz w:val="28"/>
          <w:szCs w:val="28"/>
          <w:lang w:eastAsia="zh-CN"/>
        </w:rPr>
        <w:t>，</w:t>
      </w:r>
      <w:r>
        <w:rPr>
          <w:rFonts w:hint="eastAsia" w:ascii="宋体" w:hAnsi="宋体" w:eastAsia="宋体" w:cs="宋体"/>
          <w:color w:val="auto"/>
          <w:sz w:val="28"/>
          <w:szCs w:val="28"/>
        </w:rPr>
        <w:t>梁耐火极限为2h，保护层厚度为25mm。</w:t>
      </w:r>
    </w:p>
    <w:p w14:paraId="20150AAF">
      <w:pPr>
        <w:pageBreakBefore w:val="0"/>
        <w:kinsoku/>
        <w:wordWrap w:val="0"/>
        <w:overflowPunct w:val="0"/>
        <w:topLinePunct w:val="0"/>
        <w:bidi w:val="0"/>
        <w:snapToGrid/>
        <w:spacing w:line="240" w:lineRule="auto"/>
        <w:ind w:firstLine="560"/>
        <w:textAlignment w:val="auto"/>
        <w:rPr>
          <w:rFonts w:hint="eastAsia" w:ascii="宋体" w:hAnsi="宋体" w:eastAsia="宋体" w:cs="宋体"/>
          <w:color w:val="auto"/>
          <w:sz w:val="28"/>
          <w:szCs w:val="28"/>
        </w:rPr>
      </w:pPr>
      <w:r>
        <w:rPr>
          <w:rFonts w:hint="eastAsia" w:ascii="宋体" w:hAnsi="宋体" w:eastAsia="宋体" w:cs="宋体"/>
          <w:color w:val="auto"/>
          <w:sz w:val="28"/>
          <w:szCs w:val="28"/>
          <w:lang w:eastAsia="zh-CN"/>
        </w:rPr>
        <w:t>案例：</w:t>
      </w:r>
      <w:r>
        <w:rPr>
          <w:rFonts w:hint="eastAsia" w:ascii="宋体" w:hAnsi="宋体" w:eastAsia="宋体" w:cs="宋体"/>
          <w:color w:val="auto"/>
          <w:sz w:val="28"/>
          <w:szCs w:val="28"/>
        </w:rPr>
        <w:t>某</w:t>
      </w:r>
      <w:r>
        <w:rPr>
          <w:rFonts w:hint="eastAsia" w:ascii="宋体" w:hAnsi="宋体" w:eastAsia="宋体" w:cs="宋体"/>
          <w:color w:val="auto"/>
          <w:sz w:val="28"/>
          <w:szCs w:val="28"/>
          <w:lang w:val="en-US" w:eastAsia="zh-CN"/>
        </w:rPr>
        <w:t>车辆基地</w:t>
      </w:r>
      <w:r>
        <w:rPr>
          <w:rFonts w:hint="eastAsia" w:ascii="宋体" w:hAnsi="宋体" w:eastAsia="宋体" w:cs="宋体"/>
          <w:color w:val="auto"/>
          <w:sz w:val="28"/>
          <w:szCs w:val="28"/>
        </w:rPr>
        <w:t>耐火等级为一级的多层厂房，设计</w:t>
      </w:r>
      <w:r>
        <w:rPr>
          <w:rFonts w:hint="eastAsia" w:ascii="宋体" w:hAnsi="宋体" w:eastAsia="宋体" w:cs="宋体"/>
          <w:color w:val="auto"/>
          <w:sz w:val="28"/>
          <w:szCs w:val="28"/>
          <w:lang w:val="en-US" w:eastAsia="zh-CN"/>
        </w:rPr>
        <w:t>要求</w:t>
      </w:r>
      <w:r>
        <w:rPr>
          <w:rFonts w:hint="eastAsia" w:ascii="宋体" w:hAnsi="宋体" w:eastAsia="宋体" w:cs="宋体"/>
          <w:color w:val="auto"/>
          <w:sz w:val="28"/>
          <w:szCs w:val="28"/>
        </w:rPr>
        <w:t>梁的耐火极限为1.5h，</w:t>
      </w:r>
      <w:r>
        <w:rPr>
          <w:rFonts w:hint="eastAsia" w:ascii="宋体" w:hAnsi="宋体" w:eastAsia="宋体" w:cs="宋体"/>
          <w:color w:val="auto"/>
          <w:sz w:val="28"/>
          <w:szCs w:val="28"/>
          <w:lang w:val="en-US" w:eastAsia="zh-CN"/>
        </w:rPr>
        <w:t>而</w:t>
      </w:r>
      <w:r>
        <w:rPr>
          <w:rFonts w:hint="eastAsia" w:ascii="宋体" w:hAnsi="宋体" w:eastAsia="宋体" w:cs="宋体"/>
          <w:color w:val="auto"/>
          <w:sz w:val="28"/>
          <w:szCs w:val="28"/>
        </w:rPr>
        <w:t>梁的保护层厚度</w:t>
      </w:r>
      <w:r>
        <w:rPr>
          <w:rFonts w:hint="eastAsia" w:ascii="宋体" w:hAnsi="宋体" w:eastAsia="宋体" w:cs="宋体"/>
          <w:color w:val="auto"/>
          <w:sz w:val="28"/>
          <w:szCs w:val="28"/>
          <w:lang w:val="en-US" w:eastAsia="zh-CN"/>
        </w:rPr>
        <w:t>仅</w:t>
      </w:r>
      <w:r>
        <w:rPr>
          <w:rFonts w:hint="eastAsia" w:ascii="宋体" w:hAnsi="宋体" w:eastAsia="宋体" w:cs="宋体"/>
          <w:color w:val="auto"/>
          <w:sz w:val="28"/>
          <w:szCs w:val="28"/>
        </w:rPr>
        <w:t>20mm</w:t>
      </w:r>
      <w:r>
        <w:rPr>
          <w:rFonts w:hint="eastAsia" w:ascii="宋体" w:hAnsi="宋体" w:cs="宋体"/>
          <w:color w:val="000000"/>
          <w:sz w:val="28"/>
          <w:lang w:eastAsia="zh-CN"/>
        </w:rPr>
        <w:t>，不满足上述规范要求</w:t>
      </w:r>
      <w:r>
        <w:rPr>
          <w:rFonts w:hint="eastAsia" w:ascii="宋体" w:hAnsi="宋体" w:cs="宋体"/>
          <w:spacing w:val="-4"/>
          <w:sz w:val="28"/>
          <w:szCs w:val="28"/>
        </w:rPr>
        <w:t>。</w:t>
      </w:r>
    </w:p>
    <w:p w14:paraId="73E70BF6">
      <w:pPr>
        <w:pageBreakBefore w:val="0"/>
        <w:kinsoku/>
        <w:wordWrap w:val="0"/>
        <w:overflowPunct w:val="0"/>
        <w:topLinePunct w:val="0"/>
        <w:bidi w:val="0"/>
        <w:snapToGrid/>
        <w:spacing w:line="240" w:lineRule="auto"/>
        <w:ind w:firstLine="560"/>
        <w:textAlignment w:val="auto"/>
        <w:rPr>
          <w:rFonts w:hint="eastAsia" w:ascii="宋体" w:hAnsi="宋体" w:eastAsia="宋体" w:cs="宋体"/>
          <w:color w:val="FF0000"/>
          <w:sz w:val="28"/>
          <w:szCs w:val="28"/>
        </w:rPr>
      </w:pPr>
    </w:p>
    <w:p w14:paraId="33AD835A">
      <w:pPr>
        <w:pageBreakBefore w:val="0"/>
        <w:kinsoku/>
        <w:wordWrap w:val="0"/>
        <w:overflowPunct w:val="0"/>
        <w:topLinePunct w:val="0"/>
        <w:bidi w:val="0"/>
        <w:snapToGrid/>
        <w:ind w:firstLine="560" w:firstLineChars="200"/>
        <w:jc w:val="both"/>
        <w:textAlignment w:val="auto"/>
        <w:rPr>
          <w:rFonts w:hint="eastAsia" w:ascii="宋体" w:hAnsi="宋体" w:eastAsia="宋体" w:cs="宋体"/>
          <w:b/>
          <w:bCs/>
          <w:color w:val="auto"/>
          <w:sz w:val="28"/>
          <w:szCs w:val="28"/>
        </w:rPr>
      </w:pPr>
      <w:r>
        <w:rPr>
          <w:rFonts w:hint="eastAsia" w:ascii="宋体" w:hAnsi="宋体" w:eastAsia="宋体" w:cs="宋体"/>
          <w:b w:val="0"/>
          <w:bCs w:val="0"/>
          <w:color w:val="auto"/>
          <w:sz w:val="28"/>
          <w:szCs w:val="28"/>
        </w:rPr>
        <w:t>2.0.</w:t>
      </w:r>
      <w:r>
        <w:rPr>
          <w:rFonts w:hint="eastAsia" w:ascii="宋体" w:hAnsi="宋体" w:eastAsia="宋体" w:cs="宋体"/>
          <w:b w:val="0"/>
          <w:bCs w:val="0"/>
          <w:color w:val="auto"/>
          <w:sz w:val="28"/>
          <w:szCs w:val="28"/>
          <w:lang w:val="en-US" w:eastAsia="zh-CN"/>
        </w:rPr>
        <w:t>3</w:t>
      </w:r>
      <w:r>
        <w:rPr>
          <w:rFonts w:hint="eastAsia" w:ascii="宋体" w:hAnsi="宋体" w:eastAsia="宋体" w:cs="宋体"/>
          <w:b w:val="0"/>
          <w:bCs w:val="0"/>
          <w:color w:val="auto"/>
          <w:sz w:val="28"/>
          <w:szCs w:val="28"/>
        </w:rPr>
        <w:t xml:space="preserve"> 耐火等级为二级的建筑，楼梯间</w:t>
      </w:r>
      <w:r>
        <w:rPr>
          <w:rFonts w:hint="eastAsia" w:ascii="宋体" w:hAnsi="宋体" w:eastAsia="宋体" w:cs="宋体"/>
          <w:b w:val="0"/>
          <w:bCs w:val="0"/>
          <w:color w:val="auto"/>
          <w:sz w:val="28"/>
          <w:szCs w:val="28"/>
          <w:lang w:eastAsia="zh-CN"/>
        </w:rPr>
        <w:t>、</w:t>
      </w:r>
      <w:r>
        <w:rPr>
          <w:rFonts w:hint="eastAsia" w:ascii="宋体" w:hAnsi="宋体" w:eastAsia="宋体" w:cs="宋体"/>
          <w:b w:val="0"/>
          <w:bCs w:val="0"/>
          <w:color w:val="auto"/>
          <w:sz w:val="28"/>
          <w:szCs w:val="28"/>
        </w:rPr>
        <w:t>前室的墙</w:t>
      </w:r>
      <w:r>
        <w:rPr>
          <w:rFonts w:hint="eastAsia" w:ascii="宋体" w:hAnsi="宋体" w:eastAsia="宋体" w:cs="宋体"/>
          <w:b w:val="0"/>
          <w:bCs w:val="0"/>
          <w:color w:val="auto"/>
          <w:sz w:val="28"/>
          <w:szCs w:val="28"/>
          <w:lang w:val="en-US" w:eastAsia="zh-CN"/>
        </w:rPr>
        <w:t>和</w:t>
      </w:r>
      <w:r>
        <w:rPr>
          <w:rFonts w:hint="eastAsia" w:ascii="宋体" w:hAnsi="宋体" w:eastAsia="宋体" w:cs="宋体"/>
          <w:b w:val="0"/>
          <w:bCs w:val="0"/>
          <w:color w:val="auto"/>
          <w:sz w:val="28"/>
          <w:szCs w:val="28"/>
        </w:rPr>
        <w:t>电梯井的墙耐火极限不小于2.0h，支撑</w:t>
      </w:r>
      <w:r>
        <w:rPr>
          <w:rFonts w:hint="eastAsia" w:ascii="宋体" w:hAnsi="宋体" w:eastAsia="宋体" w:cs="宋体"/>
          <w:b w:val="0"/>
          <w:bCs w:val="0"/>
          <w:color w:val="auto"/>
          <w:sz w:val="28"/>
          <w:szCs w:val="28"/>
          <w:lang w:val="en-US" w:eastAsia="zh-CN"/>
        </w:rPr>
        <w:t>上述</w:t>
      </w:r>
      <w:r>
        <w:rPr>
          <w:rFonts w:hint="eastAsia" w:ascii="宋体" w:hAnsi="宋体" w:eastAsia="宋体" w:cs="宋体"/>
          <w:b w:val="0"/>
          <w:bCs w:val="0"/>
          <w:color w:val="auto"/>
          <w:sz w:val="28"/>
          <w:szCs w:val="28"/>
        </w:rPr>
        <w:t>墙的梁耐火极限小于2.0h。</w:t>
      </w:r>
    </w:p>
    <w:p w14:paraId="6E4C1A4A">
      <w:pPr>
        <w:pageBreakBefore w:val="0"/>
        <w:kinsoku/>
        <w:wordWrap w:val="0"/>
        <w:overflowPunct w:val="0"/>
        <w:topLinePunct w:val="0"/>
        <w:bidi w:val="0"/>
        <w:snapToGrid/>
        <w:spacing w:line="240" w:lineRule="auto"/>
        <w:ind w:firstLine="562" w:firstLineChars="200"/>
        <w:textAlignment w:val="auto"/>
        <w:rPr>
          <w:rFonts w:hint="eastAsia" w:ascii="宋体" w:hAnsi="宋体" w:eastAsia="宋体" w:cs="宋体"/>
          <w:color w:val="auto"/>
          <w:sz w:val="28"/>
          <w:szCs w:val="28"/>
        </w:rPr>
      </w:pPr>
      <w:r>
        <w:rPr>
          <w:rFonts w:hint="eastAsia" w:ascii="宋体" w:hAnsi="宋体" w:eastAsia="宋体" w:cs="宋体"/>
          <w:b/>
          <w:bCs/>
          <w:color w:val="auto"/>
          <w:sz w:val="28"/>
          <w:szCs w:val="28"/>
        </w:rPr>
        <w:t>依据：</w:t>
      </w:r>
      <w:r>
        <w:rPr>
          <w:rFonts w:hint="eastAsia" w:ascii="宋体" w:hAnsi="宋体" w:eastAsia="宋体" w:cs="宋体"/>
          <w:color w:val="auto"/>
          <w:sz w:val="28"/>
          <w:szCs w:val="28"/>
        </w:rPr>
        <w:t>《建筑设计防火规范》（GB50016-2014（2018年版））</w:t>
      </w:r>
      <w:r>
        <w:rPr>
          <w:rFonts w:hint="eastAsia" w:ascii="宋体" w:hAnsi="宋体" w:cs="宋体"/>
          <w:color w:val="auto"/>
          <w:sz w:val="28"/>
          <w:szCs w:val="28"/>
          <w:lang w:val="en-US" w:eastAsia="zh-CN"/>
        </w:rPr>
        <w:t>第</w:t>
      </w:r>
      <w:r>
        <w:rPr>
          <w:rFonts w:hint="eastAsia" w:ascii="宋体" w:hAnsi="宋体" w:eastAsia="宋体" w:cs="宋体"/>
          <w:color w:val="auto"/>
          <w:sz w:val="28"/>
          <w:szCs w:val="28"/>
        </w:rPr>
        <w:t>5.1.2条，耐火等级为二级的建筑，楼梯间和前室的墙、电梯井的墙、住宅建筑单元之间的墙和分户墙耐火极限不小于2.0h。</w:t>
      </w:r>
    </w:p>
    <w:p w14:paraId="5238C62D">
      <w:pPr>
        <w:pageBreakBefore w:val="0"/>
        <w:kinsoku/>
        <w:wordWrap w:val="0"/>
        <w:overflowPunct w:val="0"/>
        <w:topLinePunct w:val="0"/>
        <w:bidi w:val="0"/>
        <w:snapToGrid/>
        <w:spacing w:line="240" w:lineRule="auto"/>
        <w:ind w:firstLine="560"/>
        <w:textAlignment w:val="auto"/>
        <w:rPr>
          <w:rFonts w:hint="eastAsia" w:ascii="宋体" w:hAnsi="宋体" w:eastAsia="宋体" w:cs="宋体"/>
          <w:color w:val="auto"/>
          <w:sz w:val="28"/>
          <w:szCs w:val="28"/>
        </w:rPr>
      </w:pPr>
      <w:r>
        <w:rPr>
          <w:rFonts w:hint="eastAsia" w:ascii="宋体" w:hAnsi="宋体" w:eastAsia="宋体" w:cs="宋体"/>
          <w:color w:val="auto"/>
          <w:sz w:val="28"/>
          <w:szCs w:val="28"/>
          <w:lang w:eastAsia="zh-CN"/>
        </w:rPr>
        <w:t>案例：</w:t>
      </w:r>
      <w:r>
        <w:rPr>
          <w:rFonts w:hint="eastAsia" w:ascii="宋体" w:hAnsi="宋体" w:eastAsia="宋体" w:cs="宋体"/>
          <w:color w:val="auto"/>
          <w:sz w:val="28"/>
          <w:szCs w:val="28"/>
        </w:rPr>
        <w:t>某多层办公建筑，结构耐火等级为二级，设计图</w:t>
      </w:r>
      <w:r>
        <w:rPr>
          <w:rFonts w:hint="eastAsia" w:ascii="宋体" w:hAnsi="宋体" w:eastAsia="宋体" w:cs="宋体"/>
          <w:color w:val="auto"/>
          <w:sz w:val="28"/>
          <w:szCs w:val="28"/>
          <w:lang w:val="en-US" w:eastAsia="zh-CN"/>
        </w:rPr>
        <w:t>要求</w:t>
      </w:r>
      <w:r>
        <w:rPr>
          <w:rFonts w:hint="eastAsia" w:ascii="宋体" w:hAnsi="宋体" w:eastAsia="宋体" w:cs="宋体"/>
          <w:color w:val="auto"/>
          <w:sz w:val="28"/>
          <w:szCs w:val="28"/>
        </w:rPr>
        <w:t>梁的耐火极限为1.5h</w:t>
      </w:r>
      <w:r>
        <w:rPr>
          <w:rFonts w:hint="eastAsia" w:ascii="宋体" w:hAnsi="宋体" w:eastAsia="宋体" w:cs="宋体"/>
          <w:color w:val="auto"/>
          <w:sz w:val="28"/>
          <w:szCs w:val="28"/>
          <w:lang w:eastAsia="zh-CN"/>
        </w:rPr>
        <w:t>，</w:t>
      </w:r>
      <w:r>
        <w:rPr>
          <w:rFonts w:hint="eastAsia" w:ascii="宋体" w:hAnsi="宋体" w:eastAsia="宋体" w:cs="宋体"/>
          <w:color w:val="auto"/>
          <w:sz w:val="28"/>
          <w:szCs w:val="28"/>
          <w:lang w:val="en-US" w:eastAsia="zh-CN"/>
        </w:rPr>
        <w:t>低于</w:t>
      </w:r>
      <w:r>
        <w:rPr>
          <w:rFonts w:hint="eastAsia" w:ascii="宋体" w:hAnsi="宋体" w:eastAsia="宋体" w:cs="宋体"/>
          <w:color w:val="auto"/>
          <w:sz w:val="28"/>
          <w:szCs w:val="28"/>
        </w:rPr>
        <w:t>楼梯间和前室的墙、电梯井的墙和分户墙的耐火极限2.0h。</w:t>
      </w:r>
    </w:p>
    <w:p w14:paraId="5E5273D0">
      <w:pPr>
        <w:pageBreakBefore w:val="0"/>
        <w:kinsoku/>
        <w:wordWrap w:val="0"/>
        <w:overflowPunct w:val="0"/>
        <w:topLinePunct w:val="0"/>
        <w:bidi w:val="0"/>
        <w:snapToGrid/>
        <w:spacing w:line="240" w:lineRule="auto"/>
        <w:ind w:firstLine="560"/>
        <w:textAlignment w:val="auto"/>
        <w:rPr>
          <w:rFonts w:hint="eastAsia" w:ascii="宋体" w:hAnsi="宋体" w:eastAsia="宋体" w:cs="宋体"/>
          <w:color w:val="000000" w:themeColor="text1"/>
          <w:sz w:val="28"/>
          <w:szCs w:val="28"/>
          <w14:textFill>
            <w14:solidFill>
              <w14:schemeClr w14:val="tx1"/>
            </w14:solidFill>
          </w14:textFill>
        </w:rPr>
      </w:pPr>
      <w:r>
        <w:rPr>
          <w:rFonts w:hint="eastAsia" w:ascii="宋体" w:hAnsi="宋体" w:eastAsia="宋体" w:cs="宋体"/>
          <w:color w:val="000000" w:themeColor="text1"/>
          <w:sz w:val="28"/>
          <w:szCs w:val="28"/>
          <w:lang w:eastAsia="zh-CN"/>
          <w14:textFill>
            <w14:solidFill>
              <w14:schemeClr w14:val="tx1"/>
            </w14:solidFill>
          </w14:textFill>
        </w:rPr>
        <w:t>案例：</w:t>
      </w:r>
      <w:r>
        <w:rPr>
          <w:rFonts w:hint="eastAsia" w:ascii="宋体" w:hAnsi="宋体" w:eastAsia="宋体" w:cs="宋体"/>
          <w:color w:val="000000" w:themeColor="text1"/>
          <w:sz w:val="28"/>
          <w:szCs w:val="28"/>
          <w14:textFill>
            <w14:solidFill>
              <w14:schemeClr w14:val="tx1"/>
            </w14:solidFill>
          </w14:textFill>
        </w:rPr>
        <w:t>某</w:t>
      </w:r>
      <w:r>
        <w:rPr>
          <w:rFonts w:hint="eastAsia" w:ascii="宋体" w:hAnsi="宋体" w:eastAsia="宋体" w:cs="宋体"/>
          <w:color w:val="000000" w:themeColor="text1"/>
          <w:sz w:val="28"/>
          <w:szCs w:val="28"/>
          <w:lang w:val="en-US" w:eastAsia="zh-CN"/>
          <w14:textFill>
            <w14:solidFill>
              <w14:schemeClr w14:val="tx1"/>
            </w14:solidFill>
          </w14:textFill>
        </w:rPr>
        <w:t>车辆基地的</w:t>
      </w:r>
      <w:r>
        <w:rPr>
          <w:rFonts w:hint="eastAsia" w:ascii="宋体" w:hAnsi="宋体" w:eastAsia="宋体" w:cs="宋体"/>
          <w:color w:val="000000" w:themeColor="text1"/>
          <w:sz w:val="28"/>
          <w:szCs w:val="28"/>
          <w14:textFill>
            <w14:solidFill>
              <w14:schemeClr w14:val="tx1"/>
            </w14:solidFill>
          </w14:textFill>
        </w:rPr>
        <w:t>多层办公建筑，结构耐火等级为二级，设计</w:t>
      </w:r>
      <w:r>
        <w:rPr>
          <w:rFonts w:hint="eastAsia" w:ascii="宋体" w:hAnsi="宋体" w:eastAsia="宋体" w:cs="宋体"/>
          <w:color w:val="000000" w:themeColor="text1"/>
          <w:sz w:val="28"/>
          <w:szCs w:val="28"/>
          <w:lang w:val="en-US" w:eastAsia="zh-CN"/>
          <w14:textFill>
            <w14:solidFill>
              <w14:schemeClr w14:val="tx1"/>
            </w14:solidFill>
          </w14:textFill>
        </w:rPr>
        <w:t>要求</w:t>
      </w:r>
      <w:r>
        <w:rPr>
          <w:rFonts w:hint="eastAsia" w:ascii="宋体" w:hAnsi="宋体" w:eastAsia="宋体" w:cs="宋体"/>
          <w:color w:val="000000" w:themeColor="text1"/>
          <w:sz w:val="28"/>
          <w:szCs w:val="28"/>
          <w14:textFill>
            <w14:solidFill>
              <w14:schemeClr w14:val="tx1"/>
            </w14:solidFill>
          </w14:textFill>
        </w:rPr>
        <w:t>梁的耐火极限为1.5h</w:t>
      </w:r>
      <w:r>
        <w:rPr>
          <w:rFonts w:hint="eastAsia" w:ascii="宋体" w:hAnsi="宋体" w:eastAsia="宋体" w:cs="宋体"/>
          <w:color w:val="000000" w:themeColor="text1"/>
          <w:sz w:val="28"/>
          <w:szCs w:val="28"/>
          <w:lang w:eastAsia="zh-CN"/>
          <w14:textFill>
            <w14:solidFill>
              <w14:schemeClr w14:val="tx1"/>
            </w14:solidFill>
          </w14:textFill>
        </w:rPr>
        <w:t>，</w:t>
      </w:r>
      <w:r>
        <w:rPr>
          <w:rFonts w:hint="eastAsia" w:ascii="宋体" w:hAnsi="宋体" w:eastAsia="宋体" w:cs="宋体"/>
          <w:color w:val="000000" w:themeColor="text1"/>
          <w:sz w:val="28"/>
          <w:szCs w:val="28"/>
          <w:lang w:val="en-US" w:eastAsia="zh-CN"/>
          <w14:textFill>
            <w14:solidFill>
              <w14:schemeClr w14:val="tx1"/>
            </w14:solidFill>
          </w14:textFill>
        </w:rPr>
        <w:t>低于</w:t>
      </w:r>
      <w:r>
        <w:rPr>
          <w:rFonts w:hint="eastAsia" w:ascii="宋体" w:hAnsi="宋体" w:eastAsia="宋体" w:cs="宋体"/>
          <w:color w:val="000000" w:themeColor="text1"/>
          <w:sz w:val="28"/>
          <w:szCs w:val="28"/>
          <w14:textFill>
            <w14:solidFill>
              <w14:schemeClr w14:val="tx1"/>
            </w14:solidFill>
          </w14:textFill>
        </w:rPr>
        <w:t>楼梯间和前室的墙、电梯井的墙和分户墙的耐火极限2.0h。</w:t>
      </w:r>
    </w:p>
    <w:p w14:paraId="60F49A9B">
      <w:pPr>
        <w:pageBreakBefore w:val="0"/>
        <w:kinsoku/>
        <w:wordWrap w:val="0"/>
        <w:overflowPunct w:val="0"/>
        <w:topLinePunct w:val="0"/>
        <w:bidi w:val="0"/>
        <w:snapToGrid/>
        <w:spacing w:line="240" w:lineRule="auto"/>
        <w:ind w:left="0" w:firstLine="560" w:firstLineChars="200"/>
        <w:jc w:val="both"/>
        <w:textAlignment w:val="auto"/>
        <w:rPr>
          <w:rFonts w:hint="eastAsia" w:ascii="宋体" w:hAnsi="宋体" w:eastAsia="宋体" w:cs="宋体"/>
          <w:b w:val="0"/>
          <w:bCs w:val="0"/>
          <w:color w:val="auto"/>
          <w:sz w:val="28"/>
          <w:szCs w:val="28"/>
        </w:rPr>
      </w:pPr>
    </w:p>
    <w:p w14:paraId="2175745F">
      <w:pPr>
        <w:pageBreakBefore w:val="0"/>
        <w:kinsoku/>
        <w:wordWrap w:val="0"/>
        <w:overflowPunct w:val="0"/>
        <w:topLinePunct w:val="0"/>
        <w:bidi w:val="0"/>
        <w:snapToGrid/>
        <w:spacing w:line="240" w:lineRule="auto"/>
        <w:ind w:left="0" w:firstLine="560" w:firstLineChars="200"/>
        <w:jc w:val="both"/>
        <w:textAlignment w:val="auto"/>
        <w:rPr>
          <w:rFonts w:hint="eastAsia" w:ascii="宋体" w:hAnsi="宋体" w:eastAsia="宋体" w:cs="宋体"/>
          <w:b w:val="0"/>
          <w:bCs w:val="0"/>
          <w:color w:val="auto"/>
          <w:sz w:val="28"/>
          <w:szCs w:val="28"/>
        </w:rPr>
      </w:pPr>
      <w:r>
        <w:rPr>
          <w:rFonts w:hint="eastAsia" w:ascii="宋体" w:hAnsi="宋体" w:eastAsia="宋体" w:cs="宋体"/>
          <w:b w:val="0"/>
          <w:bCs w:val="0"/>
          <w:color w:val="auto"/>
          <w:sz w:val="28"/>
          <w:szCs w:val="28"/>
        </w:rPr>
        <w:t>2.0.</w:t>
      </w:r>
      <w:r>
        <w:rPr>
          <w:rFonts w:hint="eastAsia" w:ascii="宋体" w:hAnsi="宋体" w:eastAsia="宋体" w:cs="宋体"/>
          <w:b w:val="0"/>
          <w:bCs w:val="0"/>
          <w:color w:val="auto"/>
          <w:sz w:val="28"/>
          <w:szCs w:val="28"/>
          <w:lang w:val="en-US" w:eastAsia="zh-CN"/>
        </w:rPr>
        <w:t>4</w:t>
      </w:r>
      <w:r>
        <w:rPr>
          <w:rFonts w:hint="eastAsia" w:ascii="宋体" w:hAnsi="宋体" w:eastAsia="宋体" w:cs="宋体"/>
          <w:b w:val="0"/>
          <w:bCs w:val="0"/>
          <w:color w:val="auto"/>
          <w:sz w:val="28"/>
          <w:szCs w:val="28"/>
        </w:rPr>
        <w:t xml:space="preserve"> 框架柱截面尺寸不满足耐火极限要求。</w:t>
      </w:r>
    </w:p>
    <w:p w14:paraId="22D8806F">
      <w:pPr>
        <w:pageBreakBefore w:val="0"/>
        <w:kinsoku/>
        <w:wordWrap w:val="0"/>
        <w:overflowPunct w:val="0"/>
        <w:topLinePunct w:val="0"/>
        <w:bidi w:val="0"/>
        <w:snapToGrid/>
        <w:spacing w:line="240" w:lineRule="auto"/>
        <w:ind w:firstLine="562"/>
        <w:textAlignment w:val="auto"/>
        <w:rPr>
          <w:rFonts w:hint="eastAsia" w:ascii="宋体" w:hAnsi="宋体" w:eastAsia="宋体" w:cs="宋体"/>
          <w:color w:val="auto"/>
          <w:sz w:val="28"/>
          <w:szCs w:val="28"/>
        </w:rPr>
      </w:pPr>
      <w:r>
        <w:rPr>
          <w:rFonts w:hint="eastAsia" w:ascii="宋体" w:hAnsi="宋体" w:eastAsia="宋体" w:cs="宋体"/>
          <w:b/>
          <w:bCs/>
          <w:color w:val="auto"/>
          <w:sz w:val="28"/>
          <w:szCs w:val="28"/>
        </w:rPr>
        <w:t>依据：</w:t>
      </w:r>
      <w:r>
        <w:rPr>
          <w:rFonts w:hint="eastAsia" w:ascii="宋体" w:hAnsi="宋体" w:eastAsia="宋体" w:cs="宋体"/>
          <w:color w:val="auto"/>
          <w:sz w:val="28"/>
          <w:szCs w:val="28"/>
        </w:rPr>
        <w:t>《混凝土结构通用规范》（GB55008-2022）第2.0.9</w:t>
      </w:r>
      <w:r>
        <w:rPr>
          <w:rFonts w:hint="eastAsia" w:ascii="宋体" w:hAnsi="宋体" w:cs="宋体"/>
          <w:color w:val="auto"/>
          <w:sz w:val="28"/>
          <w:szCs w:val="28"/>
          <w:lang w:val="en-US" w:eastAsia="zh-CN"/>
        </w:rPr>
        <w:t>条</w:t>
      </w:r>
      <w:r>
        <w:rPr>
          <w:rFonts w:hint="eastAsia" w:ascii="宋体" w:hAnsi="宋体" w:eastAsia="宋体" w:cs="宋体"/>
          <w:color w:val="auto"/>
          <w:sz w:val="28"/>
          <w:szCs w:val="28"/>
          <w:lang w:val="en-US" w:eastAsia="zh-CN"/>
        </w:rPr>
        <w:t>，</w:t>
      </w:r>
      <w:r>
        <w:rPr>
          <w:rFonts w:hint="eastAsia" w:ascii="宋体" w:hAnsi="宋体" w:eastAsia="宋体" w:cs="宋体"/>
          <w:color w:val="auto"/>
          <w:sz w:val="28"/>
          <w:szCs w:val="28"/>
        </w:rPr>
        <w:t>混凝土结构构件的最小截面尺寸，并应满足结构耐久性、防水、防火、配筋构造及混凝土浇筑施工要求。《建筑设计防火规范》</w:t>
      </w:r>
      <w:r>
        <w:rPr>
          <w:rFonts w:hint="eastAsia" w:ascii="宋体" w:hAnsi="宋体" w:eastAsia="宋体" w:cs="宋体"/>
          <w:color w:val="auto"/>
          <w:sz w:val="28"/>
          <w:szCs w:val="28"/>
          <w:lang w:eastAsia="zh-CN"/>
        </w:rPr>
        <w:t>（</w:t>
      </w:r>
      <w:r>
        <w:rPr>
          <w:rFonts w:hint="eastAsia" w:ascii="宋体" w:hAnsi="宋体" w:eastAsia="宋体" w:cs="宋体"/>
          <w:color w:val="auto"/>
          <w:sz w:val="28"/>
          <w:szCs w:val="28"/>
        </w:rPr>
        <w:t>GB50016-2014（2018年版）</w:t>
      </w:r>
      <w:r>
        <w:rPr>
          <w:rFonts w:hint="eastAsia" w:ascii="宋体" w:hAnsi="宋体" w:eastAsia="宋体" w:cs="宋体"/>
          <w:color w:val="auto"/>
          <w:sz w:val="28"/>
          <w:szCs w:val="28"/>
          <w:lang w:eastAsia="zh-CN"/>
        </w:rPr>
        <w:t>）</w:t>
      </w:r>
      <w:r>
        <w:rPr>
          <w:rFonts w:hint="eastAsia" w:ascii="宋体" w:hAnsi="宋体" w:eastAsia="宋体" w:cs="宋体"/>
          <w:color w:val="auto"/>
          <w:sz w:val="28"/>
          <w:szCs w:val="28"/>
        </w:rPr>
        <w:t>第5.1.2条</w:t>
      </w:r>
      <w:r>
        <w:rPr>
          <w:rFonts w:hint="eastAsia" w:ascii="宋体" w:hAnsi="宋体" w:eastAsia="宋体" w:cs="宋体"/>
          <w:color w:val="auto"/>
          <w:sz w:val="28"/>
          <w:szCs w:val="28"/>
          <w:lang w:eastAsia="zh-CN"/>
        </w:rPr>
        <w:t>，</w:t>
      </w:r>
      <w:r>
        <w:rPr>
          <w:rFonts w:hint="eastAsia" w:ascii="宋体" w:hAnsi="宋体" w:eastAsia="宋体" w:cs="宋体"/>
          <w:color w:val="auto"/>
          <w:sz w:val="28"/>
          <w:szCs w:val="28"/>
        </w:rPr>
        <w:t>耐火等级为一级时，柱耐火极限应达到3h以上。根据该规范附表1</w:t>
      </w:r>
      <w:r>
        <w:rPr>
          <w:rFonts w:hint="eastAsia" w:ascii="宋体" w:hAnsi="宋体" w:eastAsia="宋体" w:cs="宋体"/>
          <w:color w:val="auto"/>
          <w:sz w:val="28"/>
          <w:szCs w:val="28"/>
          <w:lang w:eastAsia="zh-CN"/>
        </w:rPr>
        <w:t>，</w:t>
      </w:r>
      <w:r>
        <w:rPr>
          <w:rFonts w:hint="eastAsia" w:ascii="宋体" w:hAnsi="宋体" w:eastAsia="宋体" w:cs="宋体"/>
          <w:color w:val="auto"/>
          <w:sz w:val="28"/>
          <w:szCs w:val="28"/>
        </w:rPr>
        <w:t>钢筋混凝土柱</w:t>
      </w:r>
      <w:r>
        <w:rPr>
          <w:rFonts w:hint="eastAsia" w:ascii="宋体" w:hAnsi="宋体" w:eastAsia="宋体" w:cs="宋体"/>
          <w:color w:val="auto"/>
          <w:sz w:val="28"/>
          <w:szCs w:val="28"/>
          <w:lang w:eastAsia="zh-CN"/>
        </w:rPr>
        <w:t>的</w:t>
      </w:r>
      <w:r>
        <w:rPr>
          <w:rFonts w:hint="eastAsia" w:ascii="宋体" w:hAnsi="宋体" w:eastAsia="宋体" w:cs="宋体"/>
          <w:color w:val="auto"/>
          <w:sz w:val="28"/>
          <w:szCs w:val="28"/>
        </w:rPr>
        <w:t>耐火极限为3h</w:t>
      </w:r>
      <w:r>
        <w:rPr>
          <w:rFonts w:hint="eastAsia" w:ascii="宋体" w:hAnsi="宋体" w:eastAsia="宋体" w:cs="宋体"/>
          <w:color w:val="auto"/>
          <w:sz w:val="28"/>
          <w:szCs w:val="28"/>
          <w:lang w:val="en-US" w:eastAsia="zh-CN"/>
        </w:rPr>
        <w:t>时</w:t>
      </w:r>
      <w:r>
        <w:rPr>
          <w:rFonts w:hint="eastAsia" w:ascii="宋体" w:hAnsi="宋体" w:eastAsia="宋体" w:cs="宋体"/>
          <w:color w:val="auto"/>
          <w:sz w:val="28"/>
          <w:szCs w:val="28"/>
        </w:rPr>
        <w:t>，柱截面最小尺寸为300mm×300mm。</w:t>
      </w:r>
    </w:p>
    <w:p w14:paraId="07183579">
      <w:pPr>
        <w:pageBreakBefore w:val="0"/>
        <w:kinsoku/>
        <w:wordWrap w:val="0"/>
        <w:overflowPunct w:val="0"/>
        <w:topLinePunct w:val="0"/>
        <w:bidi w:val="0"/>
        <w:snapToGrid/>
        <w:spacing w:line="240" w:lineRule="auto"/>
        <w:ind w:firstLine="560"/>
        <w:textAlignment w:val="auto"/>
        <w:rPr>
          <w:rFonts w:hint="eastAsia" w:ascii="宋体" w:hAnsi="宋体" w:eastAsia="宋体" w:cs="宋体"/>
          <w:color w:val="auto"/>
          <w:sz w:val="28"/>
          <w:szCs w:val="28"/>
        </w:rPr>
      </w:pPr>
      <w:r>
        <w:rPr>
          <w:rFonts w:hint="eastAsia" w:ascii="宋体" w:hAnsi="宋体" w:eastAsia="宋体" w:cs="宋体"/>
          <w:color w:val="auto"/>
          <w:sz w:val="28"/>
          <w:szCs w:val="28"/>
          <w:lang w:eastAsia="zh-CN"/>
        </w:rPr>
        <w:t>案例：</w:t>
      </w:r>
      <w:r>
        <w:rPr>
          <w:rFonts w:hint="eastAsia" w:ascii="宋体" w:hAnsi="宋体" w:eastAsia="宋体" w:cs="宋体"/>
          <w:color w:val="auto"/>
          <w:sz w:val="28"/>
          <w:szCs w:val="28"/>
        </w:rPr>
        <w:t>某</w:t>
      </w:r>
      <w:r>
        <w:rPr>
          <w:rFonts w:hint="eastAsia" w:ascii="宋体" w:hAnsi="宋体" w:cs="宋体"/>
          <w:color w:val="auto"/>
          <w:sz w:val="28"/>
          <w:szCs w:val="28"/>
          <w:lang w:val="en-US" w:eastAsia="zh-CN"/>
        </w:rPr>
        <w:t>车辆基地的</w:t>
      </w:r>
      <w:r>
        <w:rPr>
          <w:rFonts w:hint="eastAsia" w:ascii="宋体" w:hAnsi="宋体" w:eastAsia="宋体" w:cs="宋体"/>
          <w:color w:val="auto"/>
          <w:sz w:val="28"/>
          <w:szCs w:val="28"/>
        </w:rPr>
        <w:t>一类高层办公建筑顶层局部突出小屋面钢筋混凝土柱截面</w:t>
      </w:r>
      <w:r>
        <w:rPr>
          <w:rFonts w:hint="eastAsia" w:ascii="宋体" w:hAnsi="宋体" w:eastAsia="宋体" w:cs="宋体"/>
          <w:color w:val="auto"/>
          <w:sz w:val="28"/>
          <w:szCs w:val="28"/>
          <w:lang w:val="en-US" w:eastAsia="zh-CN"/>
        </w:rPr>
        <w:t>尺寸</w:t>
      </w:r>
      <w:r>
        <w:rPr>
          <w:rFonts w:hint="eastAsia" w:ascii="宋体" w:hAnsi="宋体" w:eastAsia="宋体" w:cs="宋体"/>
          <w:color w:val="auto"/>
          <w:sz w:val="28"/>
          <w:szCs w:val="28"/>
        </w:rPr>
        <w:t>250mm×300mm，其耐火极限</w:t>
      </w:r>
      <w:r>
        <w:rPr>
          <w:rFonts w:hint="eastAsia" w:ascii="宋体" w:hAnsi="宋体" w:eastAsia="宋体" w:cs="宋体"/>
          <w:color w:val="auto"/>
          <w:sz w:val="28"/>
          <w:szCs w:val="28"/>
          <w:lang w:val="en-US" w:eastAsia="zh-CN"/>
        </w:rPr>
        <w:t>达不到</w:t>
      </w:r>
      <w:r>
        <w:rPr>
          <w:rFonts w:hint="eastAsia" w:ascii="宋体" w:hAnsi="宋体" w:eastAsia="宋体" w:cs="宋体"/>
          <w:color w:val="auto"/>
          <w:sz w:val="28"/>
          <w:szCs w:val="28"/>
        </w:rPr>
        <w:t>3h。</w:t>
      </w:r>
    </w:p>
    <w:p w14:paraId="2547E4DC">
      <w:pPr>
        <w:pageBreakBefore w:val="0"/>
        <w:kinsoku/>
        <w:wordWrap w:val="0"/>
        <w:overflowPunct w:val="0"/>
        <w:topLinePunct w:val="0"/>
        <w:bidi w:val="0"/>
        <w:snapToGrid/>
        <w:spacing w:line="240" w:lineRule="auto"/>
        <w:ind w:left="0" w:firstLine="0"/>
        <w:textAlignment w:val="auto"/>
        <w:rPr>
          <w:rFonts w:hint="eastAsia" w:ascii="宋体" w:hAnsi="宋体" w:eastAsia="宋体" w:cs="宋体"/>
          <w:color w:val="auto"/>
          <w:sz w:val="28"/>
          <w:szCs w:val="28"/>
        </w:rPr>
      </w:pPr>
    </w:p>
    <w:p w14:paraId="238D6CE7">
      <w:pPr>
        <w:pageBreakBefore w:val="0"/>
        <w:kinsoku/>
        <w:wordWrap w:val="0"/>
        <w:overflowPunct w:val="0"/>
        <w:topLinePunct w:val="0"/>
        <w:bidi w:val="0"/>
        <w:snapToGrid/>
        <w:spacing w:line="240" w:lineRule="auto"/>
        <w:ind w:left="0" w:firstLine="560" w:firstLineChars="200"/>
        <w:textAlignment w:val="auto"/>
        <w:rPr>
          <w:rFonts w:hint="eastAsia" w:ascii="宋体" w:hAnsi="宋体" w:eastAsia="宋体" w:cs="宋体"/>
          <w:b w:val="0"/>
          <w:bCs/>
          <w:color w:val="auto"/>
          <w:sz w:val="28"/>
          <w:szCs w:val="28"/>
        </w:rPr>
      </w:pPr>
      <w:r>
        <w:rPr>
          <w:rFonts w:hint="eastAsia" w:ascii="宋体" w:hAnsi="宋体" w:eastAsia="宋体" w:cs="宋体"/>
          <w:b w:val="0"/>
          <w:bCs/>
          <w:color w:val="auto"/>
          <w:sz w:val="28"/>
          <w:szCs w:val="28"/>
        </w:rPr>
        <w:t>2.0.</w:t>
      </w:r>
      <w:r>
        <w:rPr>
          <w:rFonts w:hint="eastAsia" w:ascii="宋体" w:hAnsi="宋体" w:eastAsia="宋体" w:cs="宋体"/>
          <w:b w:val="0"/>
          <w:bCs/>
          <w:color w:val="auto"/>
          <w:sz w:val="28"/>
          <w:szCs w:val="28"/>
          <w:lang w:val="en-US" w:eastAsia="zh-CN"/>
        </w:rPr>
        <w:t>5</w:t>
      </w:r>
      <w:r>
        <w:rPr>
          <w:rFonts w:hint="eastAsia" w:ascii="宋体" w:hAnsi="宋体" w:eastAsia="宋体" w:cs="宋体"/>
          <w:b w:val="0"/>
          <w:bCs/>
          <w:color w:val="auto"/>
          <w:sz w:val="28"/>
          <w:szCs w:val="28"/>
        </w:rPr>
        <w:t xml:space="preserve"> 柱纵向配筋率大于4%时</w:t>
      </w:r>
      <w:r>
        <w:rPr>
          <w:rFonts w:hint="eastAsia" w:ascii="宋体" w:hAnsi="宋体" w:eastAsia="宋体" w:cs="宋体"/>
          <w:b w:val="0"/>
          <w:bCs/>
          <w:color w:val="auto"/>
          <w:sz w:val="28"/>
          <w:szCs w:val="28"/>
          <w:lang w:eastAsia="zh-CN"/>
        </w:rPr>
        <w:t>，</w:t>
      </w:r>
      <w:r>
        <w:rPr>
          <w:rFonts w:hint="eastAsia" w:ascii="宋体" w:hAnsi="宋体" w:eastAsia="宋体" w:cs="宋体"/>
          <w:b w:val="0"/>
          <w:bCs/>
          <w:color w:val="auto"/>
          <w:sz w:val="28"/>
          <w:szCs w:val="28"/>
        </w:rPr>
        <w:t>柱</w:t>
      </w:r>
      <w:r>
        <w:rPr>
          <w:rFonts w:hint="eastAsia" w:ascii="宋体" w:hAnsi="宋体" w:eastAsia="宋体" w:cs="宋体"/>
          <w:b w:val="0"/>
          <w:bCs/>
          <w:color w:val="auto"/>
          <w:sz w:val="28"/>
          <w:szCs w:val="28"/>
          <w:lang w:eastAsia="zh-CN"/>
        </w:rPr>
        <w:t>的</w:t>
      </w:r>
      <w:r>
        <w:rPr>
          <w:rFonts w:hint="eastAsia" w:ascii="宋体" w:hAnsi="宋体" w:eastAsia="宋体" w:cs="宋体"/>
          <w:b w:val="0"/>
          <w:bCs/>
          <w:color w:val="auto"/>
          <w:sz w:val="28"/>
          <w:szCs w:val="28"/>
        </w:rPr>
        <w:t>耐火极限仍按照《城市轨道交通车辆基地上盖综合利用工程消防设计技术标准》（DBJ50/T-454-2023）</w:t>
      </w:r>
      <w:r>
        <w:rPr>
          <w:rFonts w:hint="eastAsia" w:ascii="宋体" w:hAnsi="宋体" w:eastAsia="宋体" w:cs="宋体"/>
          <w:b w:val="0"/>
          <w:bCs/>
          <w:color w:val="auto"/>
          <w:sz w:val="28"/>
          <w:szCs w:val="28"/>
          <w:lang w:val="en-US" w:eastAsia="zh-CN"/>
        </w:rPr>
        <w:t>附录A确定</w:t>
      </w:r>
      <w:r>
        <w:rPr>
          <w:rFonts w:hint="eastAsia" w:ascii="宋体" w:hAnsi="宋体" w:eastAsia="宋体" w:cs="宋体"/>
          <w:b w:val="0"/>
          <w:bCs/>
          <w:color w:val="auto"/>
          <w:sz w:val="28"/>
          <w:szCs w:val="28"/>
        </w:rPr>
        <w:t>。</w:t>
      </w:r>
    </w:p>
    <w:p w14:paraId="47CA1B55">
      <w:pPr>
        <w:pageBreakBefore w:val="0"/>
        <w:kinsoku/>
        <w:wordWrap w:val="0"/>
        <w:overflowPunct w:val="0"/>
        <w:topLinePunct w:val="0"/>
        <w:bidi w:val="0"/>
        <w:snapToGrid/>
        <w:spacing w:line="360" w:lineRule="auto"/>
        <w:ind w:firstLine="560"/>
        <w:textAlignment w:val="auto"/>
        <w:rPr>
          <w:rFonts w:hint="eastAsia" w:ascii="宋体" w:hAnsi="宋体" w:eastAsia="宋体" w:cs="宋体"/>
          <w:bCs/>
          <w:color w:val="auto"/>
          <w:sz w:val="28"/>
          <w:szCs w:val="28"/>
        </w:rPr>
      </w:pPr>
      <w:r>
        <w:rPr>
          <w:rFonts w:hint="eastAsia" w:ascii="宋体" w:hAnsi="宋体" w:eastAsia="宋体" w:cs="宋体"/>
          <w:b/>
          <w:bCs w:val="0"/>
          <w:color w:val="auto"/>
          <w:sz w:val="28"/>
          <w:szCs w:val="28"/>
        </w:rPr>
        <w:t>依据：</w:t>
      </w:r>
      <w:r>
        <w:rPr>
          <w:rFonts w:hint="eastAsia" w:ascii="宋体" w:hAnsi="宋体" w:eastAsia="宋体" w:cs="宋体"/>
          <w:bCs/>
          <w:color w:val="auto"/>
          <w:sz w:val="28"/>
          <w:szCs w:val="28"/>
        </w:rPr>
        <w:t>《城市轨道交通车辆基地上盖综合利用工程消防设计技术标准》（DBJ50/T-454-2023）附</w:t>
      </w:r>
      <w:r>
        <w:rPr>
          <w:rFonts w:hint="eastAsia" w:ascii="宋体" w:hAnsi="宋体" w:eastAsia="宋体" w:cs="宋体"/>
          <w:bCs/>
          <w:color w:val="auto"/>
          <w:sz w:val="28"/>
          <w:szCs w:val="28"/>
          <w:lang w:val="en-US" w:eastAsia="zh-CN"/>
        </w:rPr>
        <w:t>录A，柱</w:t>
      </w:r>
      <w:r>
        <w:rPr>
          <w:rFonts w:hint="eastAsia" w:ascii="宋体" w:hAnsi="宋体" w:eastAsia="宋体" w:cs="宋体"/>
          <w:bCs/>
          <w:color w:val="auto"/>
          <w:sz w:val="28"/>
          <w:szCs w:val="28"/>
        </w:rPr>
        <w:t>纵向受力钢筋的总配筋率小于4%</w:t>
      </w:r>
      <w:r>
        <w:rPr>
          <w:rFonts w:hint="eastAsia" w:ascii="宋体" w:hAnsi="宋体" w:eastAsia="宋体" w:cs="宋体"/>
          <w:bCs/>
          <w:color w:val="auto"/>
          <w:sz w:val="28"/>
          <w:szCs w:val="28"/>
          <w:lang w:eastAsia="zh-CN"/>
        </w:rPr>
        <w:t>时，</w:t>
      </w:r>
      <w:r>
        <w:rPr>
          <w:rFonts w:hint="eastAsia" w:ascii="宋体" w:hAnsi="宋体" w:eastAsia="宋体" w:cs="宋体"/>
          <w:bCs/>
          <w:color w:val="auto"/>
          <w:sz w:val="28"/>
          <w:szCs w:val="28"/>
          <w:lang w:val="en-US" w:eastAsia="zh-CN"/>
        </w:rPr>
        <w:t>才能按</w:t>
      </w:r>
      <w:r>
        <w:rPr>
          <w:rFonts w:hint="eastAsia" w:ascii="宋体" w:hAnsi="宋体" w:eastAsia="宋体" w:cs="宋体"/>
          <w:bCs/>
          <w:color w:val="auto"/>
          <w:sz w:val="28"/>
          <w:szCs w:val="28"/>
        </w:rPr>
        <w:t>表A.0.1</w:t>
      </w:r>
      <w:r>
        <w:rPr>
          <w:rFonts w:hint="eastAsia" w:ascii="宋体" w:hAnsi="宋体" w:eastAsia="宋体" w:cs="宋体"/>
          <w:bCs/>
          <w:color w:val="auto"/>
          <w:sz w:val="28"/>
          <w:szCs w:val="28"/>
          <w:lang w:val="en-US" w:eastAsia="zh-CN"/>
        </w:rPr>
        <w:t>确定柱的耐火极限</w:t>
      </w:r>
      <w:r>
        <w:rPr>
          <w:rFonts w:hint="eastAsia" w:ascii="宋体" w:hAnsi="宋体" w:eastAsia="宋体" w:cs="宋体"/>
          <w:bCs/>
          <w:color w:val="auto"/>
          <w:sz w:val="28"/>
          <w:szCs w:val="28"/>
        </w:rPr>
        <w:t>。</w:t>
      </w:r>
    </w:p>
    <w:p w14:paraId="74A665D4">
      <w:pPr>
        <w:pageBreakBefore w:val="0"/>
        <w:kinsoku/>
        <w:wordWrap w:val="0"/>
        <w:overflowPunct w:val="0"/>
        <w:topLinePunct w:val="0"/>
        <w:bidi w:val="0"/>
        <w:snapToGrid/>
        <w:spacing w:line="360" w:lineRule="auto"/>
        <w:ind w:firstLine="562"/>
        <w:textAlignment w:val="auto"/>
        <w:rPr>
          <w:rFonts w:hint="eastAsia" w:ascii="宋体" w:hAnsi="宋体" w:eastAsia="宋体" w:cs="宋体"/>
          <w:color w:val="auto"/>
          <w:sz w:val="28"/>
          <w:szCs w:val="28"/>
          <w:lang w:val="en-US" w:eastAsia="zh-CN"/>
        </w:rPr>
      </w:pPr>
      <w:r>
        <w:rPr>
          <w:rFonts w:hint="eastAsia" w:ascii="宋体" w:hAnsi="宋体" w:eastAsia="宋体" w:cs="宋体"/>
          <w:color w:val="auto"/>
          <w:sz w:val="28"/>
          <w:szCs w:val="28"/>
          <w:lang w:val="en-US" w:eastAsia="zh-CN"/>
        </w:rPr>
        <w:t>案例：某车辆基地项目柱配筋率大于4%，但其截面、保护层厚度仍按《城市轨道交通车辆基地上盖综合利用工程消防设计技术标准》（DBJ50/T-454-2023）附录A执行。</w:t>
      </w:r>
    </w:p>
    <w:p w14:paraId="2CE94A53">
      <w:pPr>
        <w:pageBreakBefore w:val="0"/>
        <w:kinsoku/>
        <w:wordWrap w:val="0"/>
        <w:overflowPunct w:val="0"/>
        <w:topLinePunct w:val="0"/>
        <w:bidi w:val="0"/>
        <w:snapToGrid/>
        <w:spacing w:line="240" w:lineRule="auto"/>
        <w:ind w:firstLine="560"/>
        <w:textAlignment w:val="auto"/>
        <w:rPr>
          <w:rFonts w:hint="eastAsia" w:ascii="宋体" w:hAnsi="宋体" w:eastAsia="宋体" w:cs="宋体"/>
          <w:color w:val="auto"/>
          <w:sz w:val="28"/>
          <w:szCs w:val="28"/>
        </w:rPr>
      </w:pPr>
    </w:p>
    <w:p w14:paraId="51AF8A9A">
      <w:pPr>
        <w:pageBreakBefore w:val="0"/>
        <w:kinsoku/>
        <w:wordWrap w:val="0"/>
        <w:overflowPunct w:val="0"/>
        <w:topLinePunct w:val="0"/>
        <w:bidi w:val="0"/>
        <w:snapToGrid/>
        <w:spacing w:line="240" w:lineRule="auto"/>
        <w:ind w:left="0" w:firstLine="560" w:firstLineChars="200"/>
        <w:jc w:val="both"/>
        <w:textAlignment w:val="auto"/>
        <w:rPr>
          <w:rFonts w:hint="eastAsia" w:ascii="宋体" w:hAnsi="宋体" w:eastAsia="宋体" w:cs="宋体"/>
          <w:b w:val="0"/>
          <w:bCs w:val="0"/>
          <w:color w:val="auto"/>
          <w:sz w:val="28"/>
          <w:szCs w:val="28"/>
        </w:rPr>
      </w:pPr>
      <w:r>
        <w:rPr>
          <w:rFonts w:hint="eastAsia" w:ascii="宋体" w:hAnsi="宋体" w:eastAsia="宋体" w:cs="宋体"/>
          <w:b w:val="0"/>
          <w:bCs w:val="0"/>
          <w:color w:val="auto"/>
          <w:sz w:val="28"/>
          <w:szCs w:val="28"/>
        </w:rPr>
        <w:t>2.0.</w:t>
      </w:r>
      <w:r>
        <w:rPr>
          <w:rFonts w:hint="eastAsia" w:ascii="宋体" w:hAnsi="宋体" w:eastAsia="宋体" w:cs="宋体"/>
          <w:b w:val="0"/>
          <w:bCs w:val="0"/>
          <w:color w:val="auto"/>
          <w:sz w:val="28"/>
          <w:szCs w:val="28"/>
          <w:lang w:val="en-US" w:eastAsia="zh-CN"/>
        </w:rPr>
        <w:t>6</w:t>
      </w:r>
      <w:r>
        <w:rPr>
          <w:rFonts w:hint="eastAsia" w:ascii="宋体" w:hAnsi="宋体" w:eastAsia="宋体" w:cs="宋体"/>
          <w:b w:val="0"/>
          <w:bCs w:val="0"/>
          <w:color w:val="auto"/>
          <w:sz w:val="28"/>
          <w:szCs w:val="28"/>
        </w:rPr>
        <w:t xml:space="preserve"> 钢结构</w:t>
      </w:r>
      <w:r>
        <w:rPr>
          <w:rFonts w:hint="eastAsia" w:ascii="宋体" w:hAnsi="宋体" w:eastAsia="宋体" w:cs="宋体"/>
          <w:b w:val="0"/>
          <w:bCs w:val="0"/>
          <w:color w:val="auto"/>
          <w:sz w:val="28"/>
          <w:szCs w:val="28"/>
          <w:lang w:val="en-US" w:eastAsia="zh-CN"/>
        </w:rPr>
        <w:t>未</w:t>
      </w:r>
      <w:r>
        <w:rPr>
          <w:rFonts w:hint="eastAsia" w:ascii="宋体" w:hAnsi="宋体" w:eastAsia="宋体" w:cs="宋体"/>
          <w:b w:val="0"/>
          <w:bCs w:val="0"/>
          <w:color w:val="auto"/>
          <w:sz w:val="28"/>
          <w:szCs w:val="28"/>
        </w:rPr>
        <w:t>按结构耐火承载力极限状态进行耐火验算与防火设计</w:t>
      </w:r>
      <w:r>
        <w:rPr>
          <w:rFonts w:hint="eastAsia" w:ascii="宋体" w:hAnsi="宋体" w:eastAsia="宋体" w:cs="宋体"/>
          <w:b w:val="0"/>
          <w:bCs w:val="0"/>
          <w:color w:val="auto"/>
          <w:sz w:val="28"/>
          <w:szCs w:val="28"/>
          <w:lang w:eastAsia="zh-CN"/>
        </w:rPr>
        <w:t>，</w:t>
      </w:r>
      <w:r>
        <w:rPr>
          <w:rFonts w:hint="eastAsia" w:ascii="宋体" w:hAnsi="宋体" w:eastAsia="宋体" w:cs="宋体"/>
          <w:b w:val="0"/>
          <w:bCs w:val="0"/>
          <w:color w:val="auto"/>
          <w:sz w:val="28"/>
          <w:szCs w:val="28"/>
        </w:rPr>
        <w:t>防火涂料最小厚度不满足规范要求。</w:t>
      </w:r>
    </w:p>
    <w:p w14:paraId="7F67209E">
      <w:pPr>
        <w:pageBreakBefore w:val="0"/>
        <w:kinsoku/>
        <w:wordWrap w:val="0"/>
        <w:overflowPunct w:val="0"/>
        <w:topLinePunct w:val="0"/>
        <w:bidi w:val="0"/>
        <w:snapToGrid/>
        <w:spacing w:line="240" w:lineRule="auto"/>
        <w:ind w:firstLine="562"/>
        <w:textAlignment w:val="auto"/>
        <w:rPr>
          <w:rFonts w:hint="eastAsia" w:ascii="宋体" w:hAnsi="宋体" w:eastAsia="宋体" w:cs="宋体"/>
          <w:color w:val="auto"/>
          <w:sz w:val="28"/>
          <w:szCs w:val="28"/>
        </w:rPr>
      </w:pPr>
      <w:r>
        <w:rPr>
          <w:rFonts w:hint="eastAsia" w:ascii="宋体" w:hAnsi="宋体" w:eastAsia="宋体" w:cs="宋体"/>
          <w:b/>
          <w:bCs/>
          <w:color w:val="auto"/>
          <w:sz w:val="28"/>
          <w:szCs w:val="28"/>
        </w:rPr>
        <w:t>依据：</w:t>
      </w:r>
      <w:r>
        <w:rPr>
          <w:rFonts w:hint="eastAsia" w:ascii="宋体" w:hAnsi="宋体" w:eastAsia="宋体" w:cs="宋体"/>
          <w:color w:val="auto"/>
          <w:sz w:val="28"/>
          <w:szCs w:val="28"/>
        </w:rPr>
        <w:t>《建筑钢结构防火技术规范》</w:t>
      </w:r>
      <w:r>
        <w:rPr>
          <w:rFonts w:hint="eastAsia" w:ascii="宋体" w:hAnsi="宋体" w:eastAsia="宋体" w:cs="宋体"/>
          <w:color w:val="auto"/>
          <w:sz w:val="28"/>
          <w:szCs w:val="28"/>
          <w:lang w:eastAsia="zh-CN"/>
        </w:rPr>
        <w:t>（</w:t>
      </w:r>
      <w:r>
        <w:rPr>
          <w:rFonts w:hint="eastAsia" w:ascii="宋体" w:hAnsi="宋体" w:eastAsia="宋体" w:cs="宋体"/>
          <w:color w:val="auto"/>
          <w:sz w:val="28"/>
          <w:szCs w:val="28"/>
        </w:rPr>
        <w:t>GB51249-2017</w:t>
      </w:r>
      <w:r>
        <w:rPr>
          <w:rFonts w:hint="eastAsia" w:ascii="宋体" w:hAnsi="宋体" w:eastAsia="宋体" w:cs="宋体"/>
          <w:color w:val="auto"/>
          <w:sz w:val="28"/>
          <w:szCs w:val="28"/>
          <w:lang w:eastAsia="zh-CN"/>
        </w:rPr>
        <w:t>）</w:t>
      </w:r>
      <w:r>
        <w:rPr>
          <w:rFonts w:hint="eastAsia" w:ascii="宋体" w:hAnsi="宋体" w:eastAsia="宋体" w:cs="宋体"/>
          <w:color w:val="auto"/>
          <w:sz w:val="28"/>
          <w:szCs w:val="28"/>
        </w:rPr>
        <w:t>第3.2.1</w:t>
      </w:r>
      <w:r>
        <w:rPr>
          <w:rFonts w:hint="eastAsia" w:ascii="宋体" w:hAnsi="宋体" w:cs="宋体"/>
          <w:color w:val="auto"/>
          <w:sz w:val="28"/>
          <w:szCs w:val="28"/>
          <w:lang w:val="en-US" w:eastAsia="zh-CN"/>
        </w:rPr>
        <w:t>条</w:t>
      </w:r>
      <w:r>
        <w:rPr>
          <w:rFonts w:hint="eastAsia" w:ascii="宋体" w:hAnsi="宋体" w:eastAsia="宋体" w:cs="宋体"/>
          <w:color w:val="auto"/>
          <w:sz w:val="28"/>
          <w:szCs w:val="28"/>
          <w:lang w:eastAsia="zh-CN"/>
        </w:rPr>
        <w:t>，</w:t>
      </w:r>
      <w:r>
        <w:rPr>
          <w:rFonts w:hint="eastAsia" w:ascii="宋体" w:hAnsi="宋体" w:eastAsia="宋体" w:cs="宋体"/>
          <w:color w:val="auto"/>
          <w:sz w:val="28"/>
          <w:szCs w:val="28"/>
        </w:rPr>
        <w:t>钢结构应按结构耐火承载力极限状态进行耐火验算与防火设计</w:t>
      </w:r>
      <w:r>
        <w:rPr>
          <w:rFonts w:hint="eastAsia" w:ascii="宋体" w:hAnsi="宋体" w:eastAsia="宋体" w:cs="宋体"/>
          <w:color w:val="auto"/>
          <w:sz w:val="28"/>
          <w:szCs w:val="28"/>
          <w:lang w:eastAsia="zh-CN"/>
        </w:rPr>
        <w:t>。</w:t>
      </w:r>
      <w:r>
        <w:rPr>
          <w:rFonts w:hint="eastAsia" w:ascii="宋体" w:hAnsi="宋体" w:eastAsia="宋体" w:cs="宋体"/>
          <w:color w:val="auto"/>
          <w:sz w:val="28"/>
          <w:szCs w:val="28"/>
        </w:rPr>
        <w:t>《建筑钢结构防火技术规范》</w:t>
      </w:r>
      <w:r>
        <w:rPr>
          <w:rFonts w:hint="eastAsia" w:ascii="宋体" w:hAnsi="宋体" w:eastAsia="宋体" w:cs="宋体"/>
          <w:color w:val="auto"/>
          <w:sz w:val="28"/>
          <w:szCs w:val="28"/>
          <w:lang w:eastAsia="zh-CN"/>
        </w:rPr>
        <w:t>（</w:t>
      </w:r>
      <w:r>
        <w:rPr>
          <w:rFonts w:hint="eastAsia" w:ascii="宋体" w:hAnsi="宋体" w:eastAsia="宋体" w:cs="宋体"/>
          <w:color w:val="auto"/>
          <w:sz w:val="28"/>
          <w:szCs w:val="28"/>
        </w:rPr>
        <w:t>GB51249-2017</w:t>
      </w:r>
      <w:r>
        <w:rPr>
          <w:rFonts w:hint="eastAsia" w:ascii="宋体" w:hAnsi="宋体" w:eastAsia="宋体" w:cs="宋体"/>
          <w:color w:val="auto"/>
          <w:sz w:val="28"/>
          <w:szCs w:val="28"/>
          <w:lang w:eastAsia="zh-CN"/>
        </w:rPr>
        <w:t>）</w:t>
      </w:r>
      <w:r>
        <w:rPr>
          <w:rFonts w:hint="eastAsia" w:ascii="宋体" w:hAnsi="宋体" w:eastAsia="宋体" w:cs="宋体"/>
          <w:color w:val="auto"/>
          <w:sz w:val="28"/>
          <w:szCs w:val="28"/>
        </w:rPr>
        <w:t>第3.1.2</w:t>
      </w:r>
      <w:r>
        <w:rPr>
          <w:rFonts w:hint="eastAsia" w:ascii="宋体" w:hAnsi="宋体" w:cs="宋体"/>
          <w:color w:val="auto"/>
          <w:sz w:val="28"/>
          <w:szCs w:val="28"/>
          <w:lang w:val="en-US" w:eastAsia="zh-CN"/>
        </w:rPr>
        <w:t>条</w:t>
      </w:r>
      <w:r>
        <w:rPr>
          <w:rFonts w:hint="eastAsia" w:ascii="宋体" w:hAnsi="宋体" w:eastAsia="宋体" w:cs="宋体"/>
          <w:color w:val="auto"/>
          <w:sz w:val="28"/>
          <w:szCs w:val="28"/>
          <w:lang w:val="en-US" w:eastAsia="zh-CN"/>
        </w:rPr>
        <w:t>，</w:t>
      </w:r>
      <w:r>
        <w:rPr>
          <w:rFonts w:hint="eastAsia" w:ascii="宋体" w:hAnsi="宋体" w:eastAsia="宋体" w:cs="宋体"/>
          <w:color w:val="auto"/>
          <w:sz w:val="28"/>
          <w:szCs w:val="28"/>
        </w:rPr>
        <w:t>钢结构构件的耐火极限经验算低于设计耐火极限时，应采取防火保护措施。《钢结构防火涂料》</w:t>
      </w:r>
      <w:r>
        <w:rPr>
          <w:rFonts w:hint="eastAsia" w:ascii="宋体" w:hAnsi="宋体" w:eastAsia="宋体" w:cs="宋体"/>
          <w:color w:val="auto"/>
          <w:sz w:val="28"/>
          <w:szCs w:val="28"/>
          <w:lang w:eastAsia="zh-CN"/>
        </w:rPr>
        <w:t>（</w:t>
      </w:r>
      <w:r>
        <w:rPr>
          <w:rFonts w:hint="eastAsia" w:ascii="宋体" w:hAnsi="宋体" w:eastAsia="宋体" w:cs="宋体"/>
          <w:color w:val="auto"/>
          <w:sz w:val="28"/>
          <w:szCs w:val="28"/>
        </w:rPr>
        <w:t>GB14907-2018</w:t>
      </w:r>
      <w:r>
        <w:rPr>
          <w:rFonts w:hint="eastAsia" w:ascii="宋体" w:hAnsi="宋体" w:eastAsia="宋体" w:cs="宋体"/>
          <w:color w:val="auto"/>
          <w:sz w:val="28"/>
          <w:szCs w:val="28"/>
          <w:lang w:eastAsia="zh-CN"/>
        </w:rPr>
        <w:t>）</w:t>
      </w:r>
      <w:r>
        <w:rPr>
          <w:rFonts w:hint="eastAsia" w:ascii="宋体" w:hAnsi="宋体" w:eastAsia="宋体" w:cs="宋体"/>
          <w:color w:val="auto"/>
          <w:sz w:val="28"/>
          <w:szCs w:val="28"/>
        </w:rPr>
        <w:t>第5.1.5</w:t>
      </w:r>
      <w:r>
        <w:rPr>
          <w:rFonts w:hint="eastAsia" w:ascii="宋体" w:hAnsi="宋体" w:cs="宋体"/>
          <w:color w:val="auto"/>
          <w:sz w:val="28"/>
          <w:szCs w:val="28"/>
          <w:lang w:val="en-US" w:eastAsia="zh-CN"/>
        </w:rPr>
        <w:t>条</w:t>
      </w:r>
      <w:r>
        <w:rPr>
          <w:rFonts w:hint="eastAsia" w:ascii="宋体" w:hAnsi="宋体" w:eastAsia="宋体" w:cs="宋体"/>
          <w:color w:val="auto"/>
          <w:sz w:val="28"/>
          <w:szCs w:val="28"/>
          <w:lang w:eastAsia="zh-CN"/>
        </w:rPr>
        <w:t>，</w:t>
      </w:r>
      <w:r>
        <w:rPr>
          <w:rFonts w:hint="eastAsia" w:ascii="宋体" w:hAnsi="宋体" w:eastAsia="宋体" w:cs="宋体"/>
          <w:color w:val="auto"/>
          <w:sz w:val="28"/>
          <w:szCs w:val="28"/>
        </w:rPr>
        <w:t>膨胀型钢结构防火涂料的涂层厚度不应小于1.5mm，非膨胀型钢结构防火涂料的涂层厚度不应小于15mm。</w:t>
      </w:r>
    </w:p>
    <w:p w14:paraId="3495630A">
      <w:pPr>
        <w:pageBreakBefore w:val="0"/>
        <w:kinsoku/>
        <w:wordWrap w:val="0"/>
        <w:overflowPunct w:val="0"/>
        <w:topLinePunct w:val="0"/>
        <w:bidi w:val="0"/>
        <w:snapToGrid/>
        <w:spacing w:line="240" w:lineRule="auto"/>
        <w:ind w:firstLine="560"/>
        <w:textAlignment w:val="auto"/>
        <w:rPr>
          <w:rFonts w:hint="eastAsia" w:ascii="宋体" w:hAnsi="宋体" w:eastAsia="宋体" w:cs="宋体"/>
          <w:color w:val="auto"/>
          <w:sz w:val="28"/>
          <w:szCs w:val="28"/>
        </w:rPr>
      </w:pPr>
      <w:r>
        <w:rPr>
          <w:rFonts w:hint="eastAsia" w:ascii="宋体" w:hAnsi="宋体" w:eastAsia="宋体" w:cs="宋体"/>
          <w:color w:val="auto"/>
          <w:sz w:val="28"/>
          <w:szCs w:val="28"/>
        </w:rPr>
        <w:t>案例1：某项目采用钢框架结构，缺少耐火验算计算书。</w:t>
      </w:r>
    </w:p>
    <w:p w14:paraId="698ED002">
      <w:pPr>
        <w:pageBreakBefore w:val="0"/>
        <w:kinsoku/>
        <w:wordWrap w:val="0"/>
        <w:overflowPunct w:val="0"/>
        <w:topLinePunct w:val="0"/>
        <w:bidi w:val="0"/>
        <w:snapToGrid/>
        <w:spacing w:line="240" w:lineRule="auto"/>
        <w:ind w:firstLine="560"/>
        <w:textAlignment w:val="auto"/>
        <w:rPr>
          <w:rFonts w:hint="eastAsia" w:ascii="宋体" w:hAnsi="宋体" w:eastAsia="宋体" w:cs="宋体"/>
          <w:strike w:val="0"/>
          <w:dstrike w:val="0"/>
          <w:color w:val="auto"/>
          <w:sz w:val="28"/>
          <w:szCs w:val="28"/>
        </w:rPr>
      </w:pPr>
      <w:r>
        <w:rPr>
          <w:rFonts w:hint="eastAsia" w:ascii="宋体" w:hAnsi="宋体" w:eastAsia="宋体" w:cs="宋体"/>
          <w:color w:val="auto"/>
          <w:sz w:val="28"/>
          <w:szCs w:val="28"/>
        </w:rPr>
        <w:t>案例</w:t>
      </w:r>
      <w:r>
        <w:rPr>
          <w:rFonts w:hint="eastAsia" w:ascii="宋体" w:hAnsi="宋体" w:eastAsia="宋体" w:cs="宋体"/>
          <w:color w:val="auto"/>
          <w:sz w:val="28"/>
          <w:szCs w:val="28"/>
          <w:lang w:val="en-US" w:eastAsia="zh-CN"/>
        </w:rPr>
        <w:t>2</w:t>
      </w:r>
      <w:r>
        <w:rPr>
          <w:rFonts w:hint="eastAsia" w:ascii="宋体" w:hAnsi="宋体" w:eastAsia="宋体" w:cs="宋体"/>
          <w:color w:val="auto"/>
          <w:sz w:val="28"/>
          <w:szCs w:val="28"/>
        </w:rPr>
        <w:t>：</w:t>
      </w:r>
      <w:r>
        <w:rPr>
          <w:rFonts w:hint="eastAsia" w:ascii="宋体" w:hAnsi="宋体" w:eastAsia="宋体" w:cs="宋体"/>
          <w:strike w:val="0"/>
          <w:dstrike w:val="0"/>
          <w:color w:val="auto"/>
          <w:sz w:val="28"/>
          <w:szCs w:val="28"/>
          <w:lang w:val="en-US" w:eastAsia="zh-CN"/>
        </w:rPr>
        <w:t>某</w:t>
      </w:r>
      <w:r>
        <w:rPr>
          <w:rFonts w:hint="eastAsia" w:ascii="宋体" w:hAnsi="宋体" w:eastAsia="宋体" w:cs="宋体"/>
          <w:strike w:val="0"/>
          <w:dstrike w:val="0"/>
          <w:color w:val="auto"/>
          <w:sz w:val="28"/>
          <w:szCs w:val="28"/>
        </w:rPr>
        <w:t>高架车站钢罩棚、钢天桥</w:t>
      </w:r>
      <w:r>
        <w:rPr>
          <w:rFonts w:hint="eastAsia" w:ascii="宋体" w:hAnsi="宋体" w:eastAsia="宋体" w:cs="宋体"/>
          <w:strike w:val="0"/>
          <w:dstrike w:val="0"/>
          <w:color w:val="auto"/>
          <w:sz w:val="28"/>
          <w:szCs w:val="28"/>
          <w:lang w:val="en-US" w:eastAsia="zh-CN"/>
        </w:rPr>
        <w:t>未</w:t>
      </w:r>
      <w:r>
        <w:rPr>
          <w:rFonts w:hint="eastAsia" w:ascii="宋体" w:hAnsi="宋体" w:eastAsia="宋体" w:cs="宋体"/>
          <w:strike w:val="0"/>
          <w:dstrike w:val="0"/>
          <w:color w:val="auto"/>
          <w:sz w:val="28"/>
          <w:szCs w:val="28"/>
        </w:rPr>
        <w:t>按结构耐火承载力极限状态进行耐火验算与防火设计</w:t>
      </w:r>
      <w:r>
        <w:rPr>
          <w:rFonts w:hint="eastAsia" w:ascii="宋体" w:hAnsi="宋体" w:eastAsia="宋体" w:cs="宋体"/>
          <w:strike w:val="0"/>
          <w:dstrike w:val="0"/>
          <w:color w:val="auto"/>
          <w:sz w:val="28"/>
          <w:szCs w:val="28"/>
          <w:lang w:eastAsia="zh-CN"/>
        </w:rPr>
        <w:t>。</w:t>
      </w:r>
    </w:p>
    <w:p w14:paraId="2980440F">
      <w:pPr>
        <w:pageBreakBefore w:val="0"/>
        <w:kinsoku/>
        <w:wordWrap w:val="0"/>
        <w:overflowPunct w:val="0"/>
        <w:topLinePunct w:val="0"/>
        <w:bidi w:val="0"/>
        <w:snapToGrid/>
        <w:spacing w:line="240" w:lineRule="auto"/>
        <w:ind w:firstLine="560"/>
        <w:textAlignment w:val="auto"/>
        <w:rPr>
          <w:rFonts w:hint="eastAsia" w:ascii="宋体" w:hAnsi="宋体" w:eastAsia="宋体" w:cs="宋体"/>
          <w:color w:val="auto"/>
          <w:sz w:val="28"/>
          <w:szCs w:val="28"/>
        </w:rPr>
      </w:pPr>
    </w:p>
    <w:p w14:paraId="6FE0ED94">
      <w:pPr>
        <w:pageBreakBefore w:val="0"/>
        <w:kinsoku/>
        <w:wordWrap w:val="0"/>
        <w:overflowPunct w:val="0"/>
        <w:topLinePunct w:val="0"/>
        <w:bidi w:val="0"/>
        <w:snapToGrid/>
        <w:spacing w:line="240" w:lineRule="auto"/>
        <w:ind w:left="0" w:firstLine="560" w:firstLineChars="200"/>
        <w:jc w:val="both"/>
        <w:textAlignment w:val="auto"/>
        <w:rPr>
          <w:rFonts w:hint="eastAsia" w:ascii="宋体" w:hAnsi="宋体" w:eastAsia="宋体" w:cs="宋体"/>
          <w:b w:val="0"/>
          <w:bCs w:val="0"/>
          <w:color w:val="auto"/>
          <w:sz w:val="28"/>
          <w:szCs w:val="28"/>
        </w:rPr>
      </w:pPr>
      <w:r>
        <w:rPr>
          <w:rFonts w:hint="eastAsia" w:ascii="宋体" w:hAnsi="宋体" w:eastAsia="宋体" w:cs="宋体"/>
          <w:b w:val="0"/>
          <w:bCs w:val="0"/>
          <w:color w:val="auto"/>
          <w:sz w:val="28"/>
          <w:szCs w:val="28"/>
        </w:rPr>
        <w:t>2.0.</w:t>
      </w:r>
      <w:r>
        <w:rPr>
          <w:rFonts w:hint="eastAsia" w:ascii="宋体" w:hAnsi="宋体" w:eastAsia="宋体" w:cs="宋体"/>
          <w:b w:val="0"/>
          <w:bCs w:val="0"/>
          <w:color w:val="auto"/>
          <w:sz w:val="28"/>
          <w:szCs w:val="28"/>
          <w:lang w:val="en-US" w:eastAsia="zh-CN"/>
        </w:rPr>
        <w:t>7</w:t>
      </w:r>
      <w:r>
        <w:rPr>
          <w:rFonts w:hint="eastAsia" w:ascii="宋体" w:hAnsi="宋体" w:eastAsia="宋体" w:cs="宋体"/>
          <w:b w:val="0"/>
          <w:bCs w:val="0"/>
          <w:color w:val="auto"/>
          <w:sz w:val="28"/>
          <w:szCs w:val="28"/>
        </w:rPr>
        <w:t xml:space="preserve"> </w:t>
      </w:r>
      <w:r>
        <w:rPr>
          <w:rFonts w:hint="eastAsia" w:ascii="宋体" w:hAnsi="宋体" w:eastAsia="宋体" w:cs="宋体"/>
          <w:b w:val="0"/>
          <w:bCs w:val="0"/>
          <w:color w:val="auto"/>
          <w:sz w:val="28"/>
          <w:szCs w:val="28"/>
          <w:lang w:val="en-US" w:eastAsia="zh-CN"/>
        </w:rPr>
        <w:t>设计文件未明确钢</w:t>
      </w:r>
      <w:r>
        <w:rPr>
          <w:rFonts w:hint="eastAsia" w:ascii="宋体" w:hAnsi="宋体" w:eastAsia="宋体" w:cs="宋体"/>
          <w:b w:val="0"/>
          <w:bCs w:val="0"/>
          <w:color w:val="auto"/>
          <w:sz w:val="28"/>
          <w:szCs w:val="28"/>
        </w:rPr>
        <w:t>结构柱间支撑、楼（屋）盖支撑、系杆、连接节点、吊车梁的耐火极限及防火措施。</w:t>
      </w:r>
    </w:p>
    <w:p w14:paraId="71610AD0">
      <w:pPr>
        <w:pageBreakBefore w:val="0"/>
        <w:kinsoku/>
        <w:wordWrap w:val="0"/>
        <w:overflowPunct w:val="0"/>
        <w:topLinePunct w:val="0"/>
        <w:bidi w:val="0"/>
        <w:snapToGrid/>
        <w:spacing w:line="240" w:lineRule="auto"/>
        <w:ind w:firstLine="562"/>
        <w:textAlignment w:val="auto"/>
        <w:rPr>
          <w:rFonts w:hint="eastAsia" w:ascii="宋体" w:hAnsi="宋体" w:eastAsia="宋体" w:cs="宋体"/>
          <w:color w:val="auto"/>
          <w:sz w:val="28"/>
          <w:szCs w:val="28"/>
        </w:rPr>
      </w:pPr>
      <w:r>
        <w:rPr>
          <w:rFonts w:hint="eastAsia" w:ascii="宋体" w:hAnsi="宋体" w:eastAsia="宋体" w:cs="宋体"/>
          <w:b/>
          <w:bCs/>
          <w:color w:val="auto"/>
          <w:sz w:val="28"/>
          <w:szCs w:val="28"/>
        </w:rPr>
        <w:t>依据：</w:t>
      </w:r>
      <w:r>
        <w:rPr>
          <w:rFonts w:hint="eastAsia" w:ascii="宋体" w:hAnsi="宋体" w:eastAsia="宋体" w:cs="宋体"/>
          <w:color w:val="auto"/>
          <w:sz w:val="28"/>
          <w:szCs w:val="28"/>
        </w:rPr>
        <w:t>《建筑钢结构防火技术规范》</w:t>
      </w:r>
      <w:r>
        <w:rPr>
          <w:rFonts w:hint="eastAsia" w:ascii="宋体" w:hAnsi="宋体" w:eastAsia="宋体" w:cs="宋体"/>
          <w:color w:val="auto"/>
          <w:sz w:val="28"/>
          <w:szCs w:val="28"/>
          <w:lang w:eastAsia="zh-CN"/>
        </w:rPr>
        <w:t>（</w:t>
      </w:r>
      <w:r>
        <w:rPr>
          <w:rFonts w:hint="eastAsia" w:ascii="宋体" w:hAnsi="宋体" w:eastAsia="宋体" w:cs="宋体"/>
          <w:color w:val="auto"/>
          <w:sz w:val="28"/>
          <w:szCs w:val="28"/>
        </w:rPr>
        <w:t>GB51249-2017</w:t>
      </w:r>
      <w:r>
        <w:rPr>
          <w:rFonts w:hint="eastAsia" w:ascii="宋体" w:hAnsi="宋体" w:eastAsia="宋体" w:cs="宋体"/>
          <w:color w:val="auto"/>
          <w:sz w:val="28"/>
          <w:szCs w:val="28"/>
          <w:lang w:eastAsia="zh-CN"/>
        </w:rPr>
        <w:t>）</w:t>
      </w:r>
      <w:r>
        <w:rPr>
          <w:rFonts w:hint="eastAsia" w:ascii="宋体" w:hAnsi="宋体" w:eastAsia="宋体" w:cs="宋体"/>
          <w:color w:val="auto"/>
          <w:sz w:val="28"/>
          <w:szCs w:val="28"/>
        </w:rPr>
        <w:t>第3.1.1</w:t>
      </w:r>
      <w:r>
        <w:rPr>
          <w:rFonts w:hint="eastAsia" w:ascii="宋体" w:hAnsi="宋体" w:cs="宋体"/>
          <w:color w:val="auto"/>
          <w:sz w:val="28"/>
          <w:szCs w:val="28"/>
          <w:lang w:val="en-US" w:eastAsia="zh-CN"/>
        </w:rPr>
        <w:t>条</w:t>
      </w:r>
      <w:r>
        <w:rPr>
          <w:rFonts w:hint="eastAsia" w:ascii="宋体" w:hAnsi="宋体" w:eastAsia="宋体" w:cs="宋体"/>
          <w:color w:val="auto"/>
          <w:sz w:val="28"/>
          <w:szCs w:val="28"/>
          <w:lang w:eastAsia="zh-CN"/>
        </w:rPr>
        <w:t>，</w:t>
      </w:r>
      <w:r>
        <w:rPr>
          <w:rFonts w:hint="eastAsia" w:ascii="宋体" w:hAnsi="宋体" w:eastAsia="宋体" w:cs="宋体"/>
          <w:color w:val="auto"/>
          <w:sz w:val="28"/>
          <w:szCs w:val="28"/>
        </w:rPr>
        <w:t>钢结构构件的设计耐火极限应根据建筑的耐火等级，按现行国家标准</w:t>
      </w:r>
      <w:r>
        <w:rPr>
          <w:rFonts w:hint="eastAsia" w:ascii="宋体" w:hAnsi="宋体" w:cs="宋体"/>
          <w:bCs/>
          <w:color w:val="000000"/>
          <w:sz w:val="28"/>
          <w:szCs w:val="28"/>
        </w:rPr>
        <w:t>《建筑设计防火规范》GB50016</w:t>
      </w:r>
      <w:r>
        <w:rPr>
          <w:rFonts w:hint="eastAsia" w:ascii="宋体" w:hAnsi="宋体" w:eastAsia="宋体" w:cs="宋体"/>
          <w:color w:val="auto"/>
          <w:sz w:val="28"/>
          <w:szCs w:val="28"/>
        </w:rPr>
        <w:t>的规定确定。柱间支撑的设计耐火极限应与柱相同，楼盖支撑的设计耐火极限应与梁相同，屋盖支撑和系杆的设计耐火极限应与屋顶承重构件相同。</w:t>
      </w:r>
    </w:p>
    <w:p w14:paraId="5C53B5C0">
      <w:pPr>
        <w:pageBreakBefore w:val="0"/>
        <w:kinsoku/>
        <w:wordWrap w:val="0"/>
        <w:overflowPunct w:val="0"/>
        <w:topLinePunct w:val="0"/>
        <w:bidi w:val="0"/>
        <w:snapToGrid/>
        <w:spacing w:line="240" w:lineRule="auto"/>
        <w:ind w:firstLine="560"/>
        <w:textAlignment w:val="auto"/>
        <w:rPr>
          <w:rFonts w:hint="eastAsia" w:ascii="宋体" w:hAnsi="宋体" w:eastAsia="宋体" w:cs="宋体"/>
          <w:color w:val="auto"/>
          <w:sz w:val="28"/>
          <w:szCs w:val="28"/>
        </w:rPr>
      </w:pPr>
      <w:r>
        <w:rPr>
          <w:rFonts w:hint="eastAsia" w:ascii="宋体" w:hAnsi="宋体" w:eastAsia="宋体" w:cs="宋体"/>
          <w:color w:val="auto"/>
          <w:sz w:val="28"/>
          <w:szCs w:val="28"/>
        </w:rPr>
        <w:t>案例1：某门式刚架</w:t>
      </w:r>
      <w:r>
        <w:rPr>
          <w:rFonts w:hint="eastAsia" w:ascii="宋体" w:hAnsi="宋体" w:eastAsia="宋体" w:cs="宋体"/>
          <w:color w:val="auto"/>
          <w:sz w:val="28"/>
          <w:szCs w:val="28"/>
          <w:lang w:eastAsia="zh-CN"/>
        </w:rPr>
        <w:t>，</w:t>
      </w:r>
      <w:r>
        <w:rPr>
          <w:rFonts w:hint="eastAsia" w:ascii="宋体" w:hAnsi="宋体" w:eastAsia="宋体" w:cs="宋体"/>
          <w:color w:val="auto"/>
          <w:sz w:val="28"/>
          <w:szCs w:val="28"/>
          <w:lang w:val="en-US" w:eastAsia="zh-CN"/>
        </w:rPr>
        <w:t>设计</w:t>
      </w:r>
      <w:r>
        <w:rPr>
          <w:rFonts w:hint="eastAsia" w:ascii="宋体" w:hAnsi="宋体" w:eastAsia="宋体" w:cs="宋体"/>
          <w:color w:val="auto"/>
          <w:sz w:val="28"/>
          <w:szCs w:val="28"/>
        </w:rPr>
        <w:t>未明确柱间支撑、屋盖支撑和系杆的耐火极限。</w:t>
      </w:r>
    </w:p>
    <w:p w14:paraId="0AAFABF9">
      <w:pPr>
        <w:pageBreakBefore w:val="0"/>
        <w:kinsoku/>
        <w:wordWrap w:val="0"/>
        <w:overflowPunct w:val="0"/>
        <w:topLinePunct w:val="0"/>
        <w:bidi w:val="0"/>
        <w:snapToGrid/>
        <w:spacing w:line="240" w:lineRule="auto"/>
        <w:ind w:firstLine="560"/>
        <w:textAlignment w:val="auto"/>
        <w:rPr>
          <w:rFonts w:hint="eastAsia" w:ascii="宋体" w:hAnsi="宋体" w:eastAsia="宋体" w:cs="宋体"/>
          <w:color w:val="auto"/>
          <w:sz w:val="28"/>
          <w:szCs w:val="28"/>
        </w:rPr>
      </w:pPr>
      <w:r>
        <w:rPr>
          <w:rFonts w:hint="eastAsia" w:ascii="宋体" w:hAnsi="宋体" w:eastAsia="宋体" w:cs="宋体"/>
          <w:color w:val="auto"/>
          <w:sz w:val="28"/>
          <w:szCs w:val="28"/>
        </w:rPr>
        <w:t>案例</w:t>
      </w:r>
      <w:r>
        <w:rPr>
          <w:rFonts w:hint="eastAsia" w:ascii="宋体" w:hAnsi="宋体" w:eastAsia="宋体" w:cs="宋体"/>
          <w:color w:val="auto"/>
          <w:sz w:val="28"/>
          <w:szCs w:val="28"/>
          <w:lang w:val="en-US" w:eastAsia="zh-CN"/>
        </w:rPr>
        <w:t>2</w:t>
      </w:r>
      <w:r>
        <w:rPr>
          <w:rFonts w:hint="eastAsia" w:ascii="宋体" w:hAnsi="宋体" w:eastAsia="宋体" w:cs="宋体"/>
          <w:color w:val="auto"/>
          <w:sz w:val="28"/>
          <w:szCs w:val="28"/>
        </w:rPr>
        <w:t>：某门式刚架</w:t>
      </w:r>
      <w:r>
        <w:rPr>
          <w:rFonts w:hint="eastAsia" w:ascii="宋体" w:hAnsi="宋体" w:eastAsia="宋体" w:cs="宋体"/>
          <w:color w:val="auto"/>
          <w:sz w:val="28"/>
          <w:szCs w:val="28"/>
          <w:lang w:eastAsia="zh-CN"/>
        </w:rPr>
        <w:t>，</w:t>
      </w:r>
      <w:r>
        <w:rPr>
          <w:rFonts w:hint="eastAsia" w:ascii="宋体" w:hAnsi="宋体" w:eastAsia="宋体" w:cs="宋体"/>
          <w:color w:val="auto"/>
          <w:sz w:val="28"/>
          <w:szCs w:val="28"/>
        </w:rPr>
        <w:t>设计</w:t>
      </w:r>
      <w:r>
        <w:rPr>
          <w:rFonts w:hint="eastAsia" w:ascii="宋体" w:hAnsi="宋体" w:eastAsia="宋体" w:cs="宋体"/>
          <w:color w:val="auto"/>
          <w:sz w:val="28"/>
          <w:szCs w:val="28"/>
          <w:lang w:val="en-US" w:eastAsia="zh-CN"/>
        </w:rPr>
        <w:t>文件明确</w:t>
      </w:r>
      <w:r>
        <w:rPr>
          <w:rFonts w:hint="eastAsia" w:ascii="宋体" w:hAnsi="宋体" w:eastAsia="宋体" w:cs="宋体"/>
          <w:color w:val="auto"/>
          <w:sz w:val="28"/>
          <w:szCs w:val="28"/>
        </w:rPr>
        <w:t>屋面檩条耐火</w:t>
      </w:r>
      <w:r>
        <w:rPr>
          <w:rFonts w:hint="eastAsia" w:ascii="宋体" w:hAnsi="宋体" w:eastAsia="宋体" w:cs="宋体"/>
          <w:color w:val="auto"/>
          <w:sz w:val="28"/>
          <w:szCs w:val="28"/>
          <w:lang w:val="en-US" w:eastAsia="zh-CN"/>
        </w:rPr>
        <w:t>极限</w:t>
      </w:r>
      <w:r>
        <w:rPr>
          <w:rFonts w:hint="eastAsia" w:ascii="宋体" w:hAnsi="宋体" w:eastAsia="宋体" w:cs="宋体"/>
          <w:color w:val="auto"/>
          <w:sz w:val="28"/>
          <w:szCs w:val="28"/>
        </w:rPr>
        <w:t>同屋面板，</w:t>
      </w:r>
      <w:r>
        <w:rPr>
          <w:rFonts w:hint="eastAsia" w:ascii="宋体" w:hAnsi="宋体" w:eastAsia="宋体" w:cs="宋体"/>
          <w:color w:val="auto"/>
          <w:sz w:val="28"/>
          <w:szCs w:val="28"/>
          <w:lang w:val="en-US" w:eastAsia="zh-CN"/>
        </w:rPr>
        <w:t>而</w:t>
      </w:r>
      <w:r>
        <w:rPr>
          <w:rFonts w:hint="eastAsia" w:ascii="宋体" w:hAnsi="宋体" w:eastAsia="宋体" w:cs="宋体"/>
          <w:color w:val="auto"/>
          <w:sz w:val="28"/>
          <w:szCs w:val="28"/>
        </w:rPr>
        <w:t>该屋面檩条兼作屋面支撑的纵向系杆，</w:t>
      </w:r>
      <w:r>
        <w:rPr>
          <w:rFonts w:hint="eastAsia" w:ascii="宋体" w:hAnsi="宋体" w:eastAsia="宋体" w:cs="宋体"/>
          <w:color w:val="auto"/>
          <w:sz w:val="28"/>
          <w:szCs w:val="28"/>
          <w:lang w:val="en-US" w:eastAsia="zh-CN"/>
        </w:rPr>
        <w:t>其</w:t>
      </w:r>
      <w:r>
        <w:rPr>
          <w:rFonts w:hint="eastAsia" w:ascii="宋体" w:hAnsi="宋体" w:eastAsia="宋体" w:cs="宋体"/>
          <w:color w:val="auto"/>
          <w:sz w:val="28"/>
          <w:szCs w:val="28"/>
        </w:rPr>
        <w:t>耐火极限</w:t>
      </w:r>
      <w:r>
        <w:rPr>
          <w:rFonts w:hint="eastAsia" w:ascii="宋体" w:hAnsi="宋体" w:eastAsia="宋体" w:cs="宋体"/>
          <w:color w:val="auto"/>
          <w:sz w:val="28"/>
          <w:szCs w:val="28"/>
          <w:lang w:val="en-US" w:eastAsia="zh-CN"/>
        </w:rPr>
        <w:t>应与</w:t>
      </w:r>
      <w:r>
        <w:rPr>
          <w:rFonts w:hint="eastAsia" w:ascii="宋体" w:hAnsi="宋体" w:eastAsia="宋体" w:cs="宋体"/>
          <w:color w:val="auto"/>
          <w:sz w:val="28"/>
          <w:szCs w:val="28"/>
        </w:rPr>
        <w:t>屋顶承重构件</w:t>
      </w:r>
      <w:r>
        <w:rPr>
          <w:rFonts w:hint="eastAsia" w:ascii="宋体" w:hAnsi="宋体" w:eastAsia="宋体" w:cs="宋体"/>
          <w:color w:val="auto"/>
          <w:sz w:val="28"/>
          <w:szCs w:val="28"/>
          <w:lang w:val="en-US" w:eastAsia="zh-CN"/>
        </w:rPr>
        <w:t>相同</w:t>
      </w:r>
      <w:r>
        <w:rPr>
          <w:rFonts w:hint="eastAsia" w:ascii="宋体" w:hAnsi="宋体" w:eastAsia="宋体" w:cs="宋体"/>
          <w:color w:val="auto"/>
          <w:sz w:val="28"/>
          <w:szCs w:val="28"/>
        </w:rPr>
        <w:t>。</w:t>
      </w:r>
    </w:p>
    <w:p w14:paraId="6C185094">
      <w:pPr>
        <w:pageBreakBefore w:val="0"/>
        <w:kinsoku/>
        <w:wordWrap w:val="0"/>
        <w:topLinePunct w:val="0"/>
        <w:bidi w:val="0"/>
        <w:snapToGrid/>
        <w:textAlignment w:val="auto"/>
        <w:rPr>
          <w:rFonts w:hint="eastAsia" w:ascii="宋体" w:hAnsi="宋体" w:eastAsia="宋体" w:cs="宋体"/>
          <w:kern w:val="2"/>
          <w:sz w:val="21"/>
          <w:szCs w:val="24"/>
          <w:lang w:val="en-US" w:eastAsia="zh-CN" w:bidi="ar-SA"/>
        </w:rPr>
      </w:pPr>
    </w:p>
    <w:p w14:paraId="1BB767CB">
      <w:pPr>
        <w:pageBreakBefore w:val="0"/>
        <w:kinsoku/>
        <w:wordWrap w:val="0"/>
        <w:overflowPunct w:val="0"/>
        <w:topLinePunct w:val="0"/>
        <w:bidi w:val="0"/>
        <w:snapToGrid/>
        <w:spacing w:line="240" w:lineRule="auto"/>
        <w:ind w:left="0" w:firstLine="560" w:firstLineChars="200"/>
        <w:jc w:val="both"/>
        <w:textAlignment w:val="auto"/>
        <w:rPr>
          <w:rFonts w:hint="eastAsia" w:ascii="宋体" w:hAnsi="宋体" w:eastAsia="宋体" w:cs="宋体"/>
          <w:b w:val="0"/>
          <w:bCs w:val="0"/>
          <w:color w:val="auto"/>
          <w:sz w:val="28"/>
          <w:szCs w:val="28"/>
        </w:rPr>
      </w:pPr>
      <w:r>
        <w:rPr>
          <w:rFonts w:hint="eastAsia" w:ascii="宋体" w:hAnsi="宋体" w:eastAsia="宋体" w:cs="宋体"/>
          <w:b w:val="0"/>
          <w:bCs w:val="0"/>
          <w:color w:val="auto"/>
          <w:sz w:val="28"/>
          <w:szCs w:val="28"/>
        </w:rPr>
        <w:t>2.0.</w:t>
      </w:r>
      <w:r>
        <w:rPr>
          <w:rFonts w:hint="eastAsia" w:ascii="宋体" w:hAnsi="宋体" w:eastAsia="宋体" w:cs="宋体"/>
          <w:b w:val="0"/>
          <w:bCs w:val="0"/>
          <w:color w:val="auto"/>
          <w:sz w:val="28"/>
          <w:szCs w:val="28"/>
          <w:lang w:val="en-US" w:eastAsia="zh-CN"/>
        </w:rPr>
        <w:t>8</w:t>
      </w:r>
      <w:r>
        <w:rPr>
          <w:rFonts w:hint="eastAsia" w:ascii="宋体" w:hAnsi="宋体" w:eastAsia="宋体" w:cs="宋体"/>
          <w:b w:val="0"/>
          <w:bCs w:val="0"/>
          <w:color w:val="auto"/>
          <w:sz w:val="28"/>
          <w:szCs w:val="28"/>
        </w:rPr>
        <w:t xml:space="preserve"> </w:t>
      </w:r>
      <w:r>
        <w:rPr>
          <w:rFonts w:hint="eastAsia" w:ascii="宋体" w:hAnsi="宋体" w:eastAsia="宋体" w:cs="宋体"/>
          <w:b w:val="0"/>
          <w:bCs w:val="0"/>
          <w:color w:val="auto"/>
          <w:sz w:val="28"/>
          <w:szCs w:val="28"/>
          <w:lang w:val="en-US" w:eastAsia="zh-CN"/>
        </w:rPr>
        <w:t>支</w:t>
      </w:r>
      <w:r>
        <w:rPr>
          <w:rFonts w:hint="eastAsia" w:ascii="宋体" w:hAnsi="宋体" w:eastAsia="宋体" w:cs="宋体"/>
          <w:b w:val="0"/>
          <w:bCs w:val="0"/>
          <w:color w:val="auto"/>
          <w:sz w:val="28"/>
          <w:szCs w:val="28"/>
        </w:rPr>
        <w:t>承消防车道、消防扑救场地和消防回车场</w:t>
      </w:r>
      <w:r>
        <w:rPr>
          <w:rFonts w:hint="eastAsia" w:ascii="宋体" w:hAnsi="宋体" w:eastAsia="宋体" w:cs="宋体"/>
          <w:b w:val="0"/>
          <w:bCs w:val="0"/>
          <w:color w:val="auto"/>
          <w:sz w:val="28"/>
          <w:szCs w:val="28"/>
          <w:lang w:val="en-US" w:eastAsia="zh-CN"/>
        </w:rPr>
        <w:t>的结构</w:t>
      </w:r>
      <w:r>
        <w:rPr>
          <w:rFonts w:hint="eastAsia" w:ascii="宋体" w:hAnsi="宋体" w:eastAsia="宋体" w:cs="宋体"/>
          <w:b w:val="0"/>
          <w:bCs w:val="0"/>
          <w:color w:val="auto"/>
          <w:sz w:val="28"/>
          <w:szCs w:val="28"/>
        </w:rPr>
        <w:t>未考虑消防车荷载</w:t>
      </w:r>
      <w:r>
        <w:rPr>
          <w:rFonts w:hint="eastAsia" w:ascii="宋体" w:hAnsi="宋体" w:eastAsia="宋体" w:cs="宋体"/>
          <w:b w:val="0"/>
          <w:bCs w:val="0"/>
          <w:color w:val="auto"/>
          <w:sz w:val="28"/>
          <w:szCs w:val="28"/>
          <w:lang w:val="en-US" w:eastAsia="zh-CN"/>
        </w:rPr>
        <w:t>或</w:t>
      </w:r>
      <w:r>
        <w:rPr>
          <w:rFonts w:hint="eastAsia" w:ascii="宋体" w:hAnsi="宋体" w:eastAsia="宋体" w:cs="宋体"/>
          <w:b w:val="0"/>
          <w:bCs w:val="0"/>
          <w:color w:val="auto"/>
          <w:sz w:val="28"/>
          <w:szCs w:val="28"/>
        </w:rPr>
        <w:t>消防车荷载取值偏小。</w:t>
      </w:r>
    </w:p>
    <w:p w14:paraId="09AB116B">
      <w:pPr>
        <w:pageBreakBefore w:val="0"/>
        <w:kinsoku/>
        <w:wordWrap w:val="0"/>
        <w:overflowPunct w:val="0"/>
        <w:topLinePunct w:val="0"/>
        <w:bidi w:val="0"/>
        <w:snapToGrid/>
        <w:spacing w:line="240" w:lineRule="auto"/>
        <w:ind w:firstLine="562"/>
        <w:textAlignment w:val="auto"/>
        <w:rPr>
          <w:rFonts w:hint="eastAsia" w:ascii="宋体" w:hAnsi="宋体" w:eastAsia="宋体" w:cs="宋体"/>
          <w:color w:val="auto"/>
          <w:sz w:val="28"/>
          <w:szCs w:val="28"/>
          <w:lang w:val="en-US" w:eastAsia="zh-CN"/>
        </w:rPr>
      </w:pPr>
      <w:r>
        <w:rPr>
          <w:rFonts w:hint="eastAsia" w:ascii="宋体" w:hAnsi="宋体" w:eastAsia="宋体" w:cs="宋体"/>
          <w:b/>
          <w:bCs/>
          <w:color w:val="auto"/>
          <w:sz w:val="28"/>
          <w:szCs w:val="28"/>
        </w:rPr>
        <w:t>依据：</w:t>
      </w:r>
      <w:r>
        <w:rPr>
          <w:rFonts w:hint="eastAsia" w:ascii="宋体" w:hAnsi="宋体" w:cs="宋体"/>
          <w:bCs/>
          <w:color w:val="000000"/>
          <w:sz w:val="28"/>
          <w:szCs w:val="28"/>
        </w:rPr>
        <w:t>《建筑设计防火规范》</w:t>
      </w:r>
      <w:r>
        <w:rPr>
          <w:rFonts w:hint="eastAsia" w:ascii="宋体" w:hAnsi="宋体" w:cs="宋体"/>
          <w:bCs/>
          <w:color w:val="000000"/>
          <w:sz w:val="28"/>
          <w:szCs w:val="28"/>
          <w:lang w:eastAsia="zh-CN"/>
        </w:rPr>
        <w:t>（</w:t>
      </w:r>
      <w:r>
        <w:rPr>
          <w:rFonts w:hint="eastAsia" w:ascii="宋体" w:hAnsi="宋体" w:cs="宋体"/>
          <w:bCs/>
          <w:color w:val="000000"/>
          <w:sz w:val="28"/>
          <w:szCs w:val="28"/>
        </w:rPr>
        <w:t>GB50016-2014（2018年版）</w:t>
      </w:r>
      <w:r>
        <w:rPr>
          <w:rFonts w:hint="eastAsia" w:ascii="宋体" w:hAnsi="宋体" w:cs="宋体"/>
          <w:bCs/>
          <w:color w:val="000000"/>
          <w:sz w:val="28"/>
          <w:szCs w:val="28"/>
          <w:lang w:eastAsia="zh-CN"/>
        </w:rPr>
        <w:t>）</w:t>
      </w:r>
      <w:r>
        <w:rPr>
          <w:rFonts w:hint="eastAsia" w:ascii="宋体" w:hAnsi="宋体" w:eastAsia="宋体" w:cs="宋体"/>
          <w:color w:val="auto"/>
          <w:sz w:val="28"/>
          <w:szCs w:val="28"/>
        </w:rPr>
        <w:t>第</w:t>
      </w:r>
      <w:r>
        <w:rPr>
          <w:rFonts w:hint="eastAsia" w:ascii="宋体" w:hAnsi="宋体" w:eastAsia="宋体" w:cs="宋体"/>
          <w:color w:val="auto"/>
          <w:sz w:val="28"/>
          <w:szCs w:val="28"/>
          <w:lang w:val="en-US" w:eastAsia="zh-CN"/>
        </w:rPr>
        <w:t>7.1.9</w:t>
      </w:r>
      <w:r>
        <w:rPr>
          <w:rFonts w:hint="eastAsia" w:ascii="宋体" w:hAnsi="宋体" w:cs="宋体"/>
          <w:color w:val="auto"/>
          <w:sz w:val="28"/>
          <w:szCs w:val="28"/>
          <w:lang w:val="en-US" w:eastAsia="zh-CN"/>
        </w:rPr>
        <w:t>条</w:t>
      </w:r>
      <w:r>
        <w:rPr>
          <w:rFonts w:hint="eastAsia" w:ascii="宋体" w:hAnsi="宋体" w:eastAsia="宋体" w:cs="宋体"/>
          <w:color w:val="auto"/>
          <w:sz w:val="28"/>
          <w:szCs w:val="28"/>
          <w:lang w:val="en-US" w:eastAsia="zh-CN"/>
        </w:rPr>
        <w:t>，消防车道的路面、救援操作场地、消防车道和救援操作场地下面的管道和暗沟等，应能承受重型消防车的压力。</w:t>
      </w:r>
      <w:r>
        <w:rPr>
          <w:rFonts w:hint="eastAsia" w:ascii="宋体" w:hAnsi="宋体" w:eastAsia="宋体" w:cs="宋体"/>
          <w:color w:val="auto"/>
          <w:sz w:val="28"/>
          <w:szCs w:val="28"/>
        </w:rPr>
        <w:t>《工程结构通用规范》</w:t>
      </w:r>
      <w:r>
        <w:rPr>
          <w:rFonts w:hint="eastAsia" w:ascii="宋体" w:hAnsi="宋体" w:eastAsia="宋体" w:cs="宋体"/>
          <w:color w:val="auto"/>
          <w:sz w:val="28"/>
          <w:szCs w:val="28"/>
          <w:lang w:eastAsia="zh-CN"/>
        </w:rPr>
        <w:t>（</w:t>
      </w:r>
      <w:r>
        <w:rPr>
          <w:rFonts w:hint="eastAsia" w:ascii="宋体" w:hAnsi="宋体" w:eastAsia="宋体" w:cs="宋体"/>
          <w:color w:val="auto"/>
          <w:sz w:val="28"/>
          <w:szCs w:val="28"/>
        </w:rPr>
        <w:t>GB55001</w:t>
      </w:r>
      <w:r>
        <w:rPr>
          <w:rFonts w:hint="eastAsia" w:ascii="宋体" w:hAnsi="宋体" w:eastAsia="宋体" w:cs="宋体"/>
          <w:color w:val="auto"/>
          <w:sz w:val="28"/>
          <w:szCs w:val="28"/>
          <w:lang w:val="en-US" w:eastAsia="zh-CN"/>
        </w:rPr>
        <w:t>-2021</w:t>
      </w:r>
      <w:r>
        <w:rPr>
          <w:rFonts w:hint="eastAsia" w:ascii="宋体" w:hAnsi="宋体" w:eastAsia="宋体" w:cs="宋体"/>
          <w:color w:val="auto"/>
          <w:sz w:val="28"/>
          <w:szCs w:val="28"/>
          <w:lang w:eastAsia="zh-CN"/>
        </w:rPr>
        <w:t>）</w:t>
      </w:r>
      <w:r>
        <w:rPr>
          <w:rFonts w:hint="eastAsia" w:ascii="宋体" w:hAnsi="宋体" w:eastAsia="宋体" w:cs="宋体"/>
          <w:color w:val="auto"/>
          <w:sz w:val="28"/>
          <w:szCs w:val="28"/>
        </w:rPr>
        <w:t>第4.2.3</w:t>
      </w:r>
      <w:r>
        <w:rPr>
          <w:rFonts w:hint="eastAsia" w:ascii="宋体" w:hAnsi="宋体" w:cs="宋体"/>
          <w:color w:val="auto"/>
          <w:sz w:val="28"/>
          <w:szCs w:val="28"/>
          <w:lang w:val="en-US" w:eastAsia="zh-CN"/>
        </w:rPr>
        <w:t>条</w:t>
      </w:r>
      <w:r>
        <w:rPr>
          <w:rFonts w:hint="eastAsia" w:ascii="宋体" w:hAnsi="宋体" w:eastAsia="宋体" w:cs="宋体"/>
          <w:color w:val="auto"/>
          <w:sz w:val="28"/>
          <w:szCs w:val="28"/>
          <w:lang w:eastAsia="zh-CN"/>
        </w:rPr>
        <w:t>，</w:t>
      </w:r>
      <w:r>
        <w:rPr>
          <w:rFonts w:hint="eastAsia" w:ascii="宋体" w:hAnsi="宋体" w:eastAsia="宋体" w:cs="宋体"/>
          <w:color w:val="auto"/>
          <w:sz w:val="28"/>
          <w:szCs w:val="28"/>
          <w:lang w:val="en-US" w:eastAsia="zh-CN"/>
        </w:rPr>
        <w:t>汽车通道及客车停车库的楼面均布活荷载标准值及其组合值系数、频遇值系数和准永久值系数的取值，不应小于表4.2.3的规定。</w:t>
      </w:r>
    </w:p>
    <w:p w14:paraId="73A62031">
      <w:pPr>
        <w:pageBreakBefore w:val="0"/>
        <w:kinsoku/>
        <w:wordWrap w:val="0"/>
        <w:overflowPunct w:val="0"/>
        <w:topLinePunct w:val="0"/>
        <w:bidi w:val="0"/>
        <w:snapToGrid/>
        <w:spacing w:line="240" w:lineRule="auto"/>
        <w:ind w:firstLine="562"/>
        <w:textAlignment w:val="auto"/>
        <w:rPr>
          <w:rFonts w:hint="eastAsia" w:ascii="宋体" w:hAnsi="宋体" w:eastAsia="宋体" w:cs="宋体"/>
          <w:color w:val="auto"/>
          <w:sz w:val="28"/>
          <w:szCs w:val="28"/>
          <w:lang w:val="en-US" w:eastAsia="zh-CN"/>
        </w:rPr>
      </w:pPr>
      <w:r>
        <w:rPr>
          <w:rFonts w:hint="eastAsia" w:ascii="宋体" w:hAnsi="宋体" w:eastAsia="宋体" w:cs="宋体"/>
          <w:color w:val="auto"/>
          <w:sz w:val="28"/>
          <w:szCs w:val="28"/>
          <w:lang w:val="en-US" w:eastAsia="zh-CN"/>
        </w:rPr>
        <w:t>案例：某地下车库项目，设计未考虑作用在支承建筑消防车道、消防扑救面及消防回车场结构上的消防车荷载，导致结构承载力不满足要求。</w:t>
      </w:r>
    </w:p>
    <w:p w14:paraId="5FBD4C64">
      <w:pPr>
        <w:pageBreakBefore w:val="0"/>
        <w:kinsoku/>
        <w:wordWrap w:val="0"/>
        <w:topLinePunct w:val="0"/>
        <w:bidi w:val="0"/>
        <w:snapToGrid/>
        <w:textAlignment w:val="auto"/>
        <w:rPr>
          <w:rFonts w:hint="eastAsia" w:ascii="宋体" w:hAnsi="宋体" w:eastAsia="宋体" w:cs="宋体"/>
          <w:sz w:val="28"/>
          <w:szCs w:val="28"/>
        </w:rPr>
      </w:pPr>
    </w:p>
    <w:p w14:paraId="0AF25DC1">
      <w:pPr>
        <w:pageBreakBefore w:val="0"/>
        <w:kinsoku/>
        <w:wordWrap w:val="0"/>
        <w:overflowPunct w:val="0"/>
        <w:topLinePunct w:val="0"/>
        <w:bidi w:val="0"/>
        <w:snapToGrid/>
        <w:spacing w:line="240" w:lineRule="auto"/>
        <w:ind w:left="0" w:firstLine="560" w:firstLineChars="200"/>
        <w:jc w:val="both"/>
        <w:textAlignment w:val="auto"/>
        <w:rPr>
          <w:rFonts w:hint="eastAsia" w:ascii="宋体" w:hAnsi="宋体" w:eastAsia="宋体" w:cs="宋体"/>
          <w:b w:val="0"/>
          <w:bCs w:val="0"/>
          <w:color w:val="auto"/>
          <w:sz w:val="28"/>
          <w:szCs w:val="28"/>
        </w:rPr>
      </w:pPr>
      <w:r>
        <w:rPr>
          <w:rFonts w:hint="eastAsia" w:ascii="宋体" w:hAnsi="宋体" w:eastAsia="宋体" w:cs="宋体"/>
          <w:b w:val="0"/>
          <w:bCs w:val="0"/>
          <w:color w:val="auto"/>
          <w:sz w:val="28"/>
          <w:szCs w:val="28"/>
        </w:rPr>
        <w:t>2.0.</w:t>
      </w:r>
      <w:r>
        <w:rPr>
          <w:rFonts w:hint="eastAsia" w:ascii="宋体" w:hAnsi="宋体" w:eastAsia="宋体" w:cs="宋体"/>
          <w:b w:val="0"/>
          <w:bCs w:val="0"/>
          <w:color w:val="auto"/>
          <w:sz w:val="28"/>
          <w:szCs w:val="28"/>
          <w:lang w:val="en-US" w:eastAsia="zh-CN"/>
        </w:rPr>
        <w:t>9</w:t>
      </w:r>
      <w:r>
        <w:rPr>
          <w:rFonts w:hint="eastAsia" w:ascii="宋体" w:hAnsi="宋体" w:eastAsia="宋体" w:cs="宋体"/>
          <w:b w:val="0"/>
          <w:bCs w:val="0"/>
          <w:color w:val="auto"/>
          <w:sz w:val="28"/>
          <w:szCs w:val="28"/>
        </w:rPr>
        <w:t xml:space="preserve"> 车辆基地与上盖建筑之间进行</w:t>
      </w:r>
      <w:r>
        <w:rPr>
          <w:rFonts w:hint="eastAsia" w:ascii="宋体" w:hAnsi="宋体" w:eastAsia="宋体" w:cs="宋体"/>
          <w:b w:val="0"/>
          <w:bCs w:val="0"/>
          <w:color w:val="auto"/>
          <w:sz w:val="28"/>
          <w:szCs w:val="28"/>
          <w:lang w:val="en-US" w:eastAsia="zh-CN"/>
        </w:rPr>
        <w:t>防火</w:t>
      </w:r>
      <w:r>
        <w:rPr>
          <w:rFonts w:hint="eastAsia" w:ascii="宋体" w:hAnsi="宋体" w:eastAsia="宋体" w:cs="宋体"/>
          <w:b w:val="0"/>
          <w:bCs w:val="0"/>
          <w:color w:val="auto"/>
          <w:sz w:val="28"/>
          <w:szCs w:val="28"/>
        </w:rPr>
        <w:t>分隔的板地耐火极限低于3.00h；板地自身的承重柱、承重墙以及梁板的耐火极限低于3.00h。</w:t>
      </w:r>
    </w:p>
    <w:p w14:paraId="45F0505F">
      <w:pPr>
        <w:pageBreakBefore w:val="0"/>
        <w:kinsoku/>
        <w:wordWrap w:val="0"/>
        <w:overflowPunct w:val="0"/>
        <w:topLinePunct w:val="0"/>
        <w:bidi w:val="0"/>
        <w:snapToGrid/>
        <w:spacing w:line="240" w:lineRule="auto"/>
        <w:ind w:firstLine="562"/>
        <w:textAlignment w:val="auto"/>
        <w:rPr>
          <w:rFonts w:hint="eastAsia" w:ascii="宋体" w:hAnsi="宋体" w:eastAsia="宋体" w:cs="宋体"/>
          <w:color w:val="auto"/>
          <w:sz w:val="28"/>
          <w:szCs w:val="28"/>
          <w:lang w:val="en-US" w:eastAsia="zh-CN"/>
        </w:rPr>
      </w:pPr>
      <w:r>
        <w:rPr>
          <w:rFonts w:hint="eastAsia" w:ascii="宋体" w:hAnsi="宋体" w:eastAsia="宋体" w:cs="宋体"/>
          <w:b/>
          <w:bCs/>
          <w:color w:val="auto"/>
          <w:sz w:val="28"/>
          <w:szCs w:val="28"/>
          <w:lang w:val="en-US" w:eastAsia="zh-CN"/>
        </w:rPr>
        <w:t>依据：</w:t>
      </w:r>
      <w:r>
        <w:rPr>
          <w:rFonts w:hint="eastAsia" w:ascii="宋体" w:hAnsi="宋体" w:eastAsia="宋体" w:cs="宋体"/>
          <w:color w:val="auto"/>
          <w:sz w:val="28"/>
          <w:szCs w:val="28"/>
        </w:rPr>
        <w:t>《建筑防火通用规范》</w:t>
      </w:r>
      <w:r>
        <w:rPr>
          <w:rFonts w:hint="eastAsia" w:ascii="宋体" w:hAnsi="宋体" w:eastAsia="宋体" w:cs="宋体"/>
          <w:color w:val="auto"/>
          <w:sz w:val="28"/>
          <w:szCs w:val="28"/>
          <w:lang w:eastAsia="zh-CN"/>
        </w:rPr>
        <w:t>（</w:t>
      </w:r>
      <w:r>
        <w:rPr>
          <w:rFonts w:hint="eastAsia" w:ascii="宋体" w:hAnsi="宋体" w:eastAsia="宋体" w:cs="宋体"/>
          <w:color w:val="auto"/>
          <w:sz w:val="28"/>
          <w:szCs w:val="28"/>
        </w:rPr>
        <w:t>GB55037-2022</w:t>
      </w:r>
      <w:r>
        <w:rPr>
          <w:rFonts w:hint="eastAsia" w:ascii="宋体" w:hAnsi="宋体" w:eastAsia="宋体" w:cs="宋体"/>
          <w:color w:val="auto"/>
          <w:sz w:val="28"/>
          <w:szCs w:val="28"/>
          <w:lang w:eastAsia="zh-CN"/>
        </w:rPr>
        <w:t>）</w:t>
      </w:r>
      <w:r>
        <w:rPr>
          <w:rFonts w:hint="eastAsia" w:ascii="宋体" w:hAnsi="宋体" w:eastAsia="宋体" w:cs="宋体"/>
          <w:color w:val="auto"/>
          <w:sz w:val="28"/>
          <w:szCs w:val="28"/>
        </w:rPr>
        <w:t>第4.4.4</w:t>
      </w:r>
      <w:r>
        <w:rPr>
          <w:rFonts w:hint="eastAsia" w:ascii="宋体" w:hAnsi="宋体" w:cs="宋体"/>
          <w:color w:val="auto"/>
          <w:sz w:val="28"/>
          <w:szCs w:val="28"/>
          <w:lang w:val="en-US" w:eastAsia="zh-CN"/>
        </w:rPr>
        <w:t>条</w:t>
      </w:r>
      <w:r>
        <w:rPr>
          <w:rFonts w:hint="eastAsia" w:ascii="宋体" w:hAnsi="宋体" w:eastAsia="宋体" w:cs="宋体"/>
          <w:color w:val="auto"/>
          <w:sz w:val="28"/>
          <w:szCs w:val="28"/>
          <w:lang w:eastAsia="zh-CN"/>
        </w:rPr>
        <w:t>，</w:t>
      </w:r>
      <w:r>
        <w:rPr>
          <w:rFonts w:hint="eastAsia" w:ascii="宋体" w:hAnsi="宋体" w:eastAsia="宋体" w:cs="宋体"/>
          <w:color w:val="auto"/>
          <w:sz w:val="28"/>
          <w:szCs w:val="28"/>
        </w:rPr>
        <w:t>在车辆基地建筑的上部建造其他功能的建筑时，车辆基地建筑与其他功能建筑之间应采用耐火极限不低于3.00h的楼板分隔，车辆基地建筑中承重的柱、梁和墙体的耐火极限均不应低于3.00h，楼板的耐火极限不应低于楼板2.00h</w:t>
      </w:r>
      <w:r>
        <w:rPr>
          <w:rFonts w:hint="eastAsia" w:ascii="宋体" w:hAnsi="宋体" w:eastAsia="宋体" w:cs="宋体"/>
          <w:color w:val="auto"/>
          <w:sz w:val="28"/>
          <w:szCs w:val="28"/>
          <w:lang w:eastAsia="zh-CN"/>
        </w:rPr>
        <w:t>。</w:t>
      </w:r>
      <w:r>
        <w:rPr>
          <w:rFonts w:hint="eastAsia" w:ascii="宋体" w:hAnsi="宋体" w:eastAsia="宋体" w:cs="宋体"/>
          <w:color w:val="auto"/>
          <w:sz w:val="28"/>
          <w:szCs w:val="28"/>
        </w:rPr>
        <w:t>《城市轨道交通车辆基地上盖综合利用工程消防设计技术标准》</w:t>
      </w:r>
      <w:r>
        <w:rPr>
          <w:rFonts w:hint="eastAsia" w:ascii="宋体" w:hAnsi="宋体" w:eastAsia="宋体" w:cs="宋体"/>
          <w:color w:val="auto"/>
          <w:sz w:val="28"/>
          <w:szCs w:val="28"/>
          <w:lang w:eastAsia="zh-CN"/>
        </w:rPr>
        <w:t>（</w:t>
      </w:r>
      <w:r>
        <w:rPr>
          <w:rFonts w:hint="eastAsia" w:ascii="宋体" w:hAnsi="宋体" w:eastAsia="宋体" w:cs="宋体"/>
          <w:color w:val="auto"/>
          <w:sz w:val="28"/>
          <w:szCs w:val="28"/>
        </w:rPr>
        <w:t>DBJ50/T-454-2023</w:t>
      </w:r>
      <w:r>
        <w:rPr>
          <w:rFonts w:hint="eastAsia" w:ascii="宋体" w:hAnsi="宋体" w:eastAsia="宋体" w:cs="宋体"/>
          <w:color w:val="auto"/>
          <w:sz w:val="28"/>
          <w:szCs w:val="28"/>
          <w:lang w:eastAsia="zh-CN"/>
        </w:rPr>
        <w:t>）</w:t>
      </w:r>
      <w:r>
        <w:rPr>
          <w:rFonts w:hint="eastAsia" w:ascii="宋体" w:hAnsi="宋体" w:eastAsia="宋体" w:cs="宋体"/>
          <w:color w:val="auto"/>
          <w:sz w:val="28"/>
          <w:szCs w:val="28"/>
        </w:rPr>
        <w:t>第6.0.1</w:t>
      </w:r>
      <w:r>
        <w:rPr>
          <w:rFonts w:hint="eastAsia" w:ascii="宋体" w:hAnsi="宋体" w:cs="宋体"/>
          <w:color w:val="auto"/>
          <w:sz w:val="28"/>
          <w:szCs w:val="28"/>
          <w:lang w:val="en-US" w:eastAsia="zh-CN"/>
        </w:rPr>
        <w:t>条</w:t>
      </w:r>
      <w:r>
        <w:rPr>
          <w:rFonts w:hint="eastAsia" w:ascii="宋体" w:hAnsi="宋体" w:eastAsia="宋体" w:cs="宋体"/>
          <w:color w:val="auto"/>
          <w:sz w:val="28"/>
          <w:szCs w:val="28"/>
          <w:lang w:eastAsia="zh-CN"/>
        </w:rPr>
        <w:t>，</w:t>
      </w:r>
      <w:r>
        <w:rPr>
          <w:rFonts w:hint="eastAsia" w:ascii="宋体" w:hAnsi="宋体" w:eastAsia="宋体" w:cs="宋体"/>
          <w:color w:val="auto"/>
          <w:sz w:val="28"/>
          <w:szCs w:val="28"/>
        </w:rPr>
        <w:t>板地自身的承重柱、承重墙的耐火极限不应低于3.00h，梁和板的耐火极限不应低于3.00h。</w:t>
      </w:r>
    </w:p>
    <w:p w14:paraId="2DE366E1">
      <w:pPr>
        <w:pageBreakBefore w:val="0"/>
        <w:kinsoku/>
        <w:wordWrap w:val="0"/>
        <w:overflowPunct w:val="0"/>
        <w:topLinePunct w:val="0"/>
        <w:bidi w:val="0"/>
        <w:snapToGrid/>
        <w:spacing w:line="240" w:lineRule="auto"/>
        <w:ind w:firstLine="562"/>
        <w:jc w:val="left"/>
        <w:textAlignment w:val="auto"/>
        <w:outlineLvl w:val="9"/>
        <w:rPr>
          <w:rFonts w:hint="eastAsia" w:ascii="宋体" w:hAnsi="宋体" w:eastAsia="宋体" w:cs="宋体"/>
          <w:color w:val="auto"/>
          <w:sz w:val="28"/>
          <w:szCs w:val="28"/>
        </w:rPr>
      </w:pPr>
      <w:r>
        <w:rPr>
          <w:rFonts w:hint="eastAsia" w:ascii="宋体" w:hAnsi="宋体" w:eastAsia="宋体" w:cs="宋体"/>
          <w:color w:val="auto"/>
          <w:sz w:val="28"/>
          <w:szCs w:val="28"/>
          <w:lang w:eastAsia="zh-CN"/>
        </w:rPr>
        <w:t>案例：</w:t>
      </w:r>
      <w:r>
        <w:rPr>
          <w:rFonts w:hint="eastAsia" w:ascii="宋体" w:hAnsi="宋体" w:eastAsia="宋体" w:cs="宋体"/>
          <w:color w:val="auto"/>
          <w:sz w:val="28"/>
          <w:szCs w:val="28"/>
        </w:rPr>
        <w:t>某车辆基地上盖项目板地</w:t>
      </w:r>
      <w:r>
        <w:rPr>
          <w:rFonts w:hint="eastAsia" w:ascii="宋体" w:hAnsi="宋体" w:eastAsia="宋体" w:cs="宋体"/>
          <w:color w:val="auto"/>
          <w:sz w:val="28"/>
          <w:szCs w:val="28"/>
          <w:lang w:eastAsia="zh-CN"/>
        </w:rPr>
        <w:t>的</w:t>
      </w:r>
      <w:r>
        <w:rPr>
          <w:rFonts w:hint="eastAsia" w:ascii="宋体" w:hAnsi="宋体" w:eastAsia="宋体" w:cs="宋体"/>
          <w:color w:val="auto"/>
          <w:sz w:val="28"/>
          <w:szCs w:val="28"/>
        </w:rPr>
        <w:t>保护层为20mm，不满足《城市轨道交通车辆基地上盖综合利用工程消防设计技术标准》</w:t>
      </w:r>
      <w:r>
        <w:rPr>
          <w:rFonts w:hint="eastAsia" w:ascii="宋体" w:hAnsi="宋体" w:eastAsia="宋体" w:cs="宋体"/>
          <w:color w:val="auto"/>
          <w:sz w:val="28"/>
          <w:szCs w:val="28"/>
          <w:lang w:eastAsia="zh-CN"/>
        </w:rPr>
        <w:t>（</w:t>
      </w:r>
      <w:r>
        <w:rPr>
          <w:rFonts w:hint="eastAsia" w:ascii="宋体" w:hAnsi="宋体" w:eastAsia="宋体" w:cs="宋体"/>
          <w:color w:val="auto"/>
          <w:sz w:val="28"/>
          <w:szCs w:val="28"/>
        </w:rPr>
        <w:t>DBJ50/T-454-2023</w:t>
      </w:r>
      <w:r>
        <w:rPr>
          <w:rFonts w:hint="eastAsia" w:ascii="宋体" w:hAnsi="宋体" w:eastAsia="宋体" w:cs="宋体"/>
          <w:color w:val="auto"/>
          <w:sz w:val="28"/>
          <w:szCs w:val="28"/>
          <w:lang w:eastAsia="zh-CN"/>
        </w:rPr>
        <w:t>）</w:t>
      </w:r>
      <w:r>
        <w:rPr>
          <w:rFonts w:hint="eastAsia" w:ascii="宋体" w:hAnsi="宋体" w:eastAsia="宋体" w:cs="宋体"/>
          <w:color w:val="auto"/>
          <w:sz w:val="28"/>
          <w:szCs w:val="28"/>
        </w:rPr>
        <w:t>附录A</w:t>
      </w:r>
      <w:r>
        <w:rPr>
          <w:rFonts w:hint="eastAsia" w:ascii="宋体" w:hAnsi="宋体" w:eastAsia="宋体" w:cs="宋体"/>
          <w:color w:val="auto"/>
          <w:sz w:val="28"/>
          <w:szCs w:val="28"/>
          <w:lang w:val="en-US" w:eastAsia="zh-CN"/>
        </w:rPr>
        <w:t>对</w:t>
      </w:r>
      <w:r>
        <w:rPr>
          <w:rFonts w:hint="eastAsia" w:ascii="宋体" w:hAnsi="宋体" w:eastAsia="宋体" w:cs="宋体"/>
          <w:color w:val="auto"/>
          <w:sz w:val="28"/>
          <w:szCs w:val="28"/>
        </w:rPr>
        <w:t>耐火极限3.00h的要求。</w:t>
      </w:r>
    </w:p>
    <w:p w14:paraId="2AC2D381">
      <w:pPr>
        <w:pageBreakBefore w:val="0"/>
        <w:kinsoku/>
        <w:wordWrap w:val="0"/>
        <w:topLinePunct w:val="0"/>
        <w:bidi w:val="0"/>
        <w:snapToGrid/>
        <w:textAlignment w:val="auto"/>
        <w:rPr>
          <w:rFonts w:hint="eastAsia" w:ascii="宋体" w:hAnsi="宋体" w:eastAsia="宋体" w:cs="宋体"/>
          <w:sz w:val="28"/>
          <w:szCs w:val="28"/>
          <w:lang w:val="en-US" w:eastAsia="zh-CN"/>
        </w:rPr>
      </w:pPr>
    </w:p>
    <w:p w14:paraId="524F5863">
      <w:pPr>
        <w:pageBreakBefore w:val="0"/>
        <w:kinsoku/>
        <w:wordWrap w:val="0"/>
        <w:overflowPunct w:val="0"/>
        <w:topLinePunct w:val="0"/>
        <w:bidi w:val="0"/>
        <w:snapToGrid/>
        <w:spacing w:line="240" w:lineRule="auto"/>
        <w:ind w:left="0" w:firstLine="560" w:firstLineChars="200"/>
        <w:jc w:val="both"/>
        <w:textAlignment w:val="auto"/>
        <w:rPr>
          <w:rFonts w:hint="eastAsia" w:ascii="宋体" w:hAnsi="宋体" w:eastAsia="宋体" w:cs="宋体"/>
          <w:b w:val="0"/>
          <w:bCs w:val="0"/>
          <w:color w:val="auto"/>
          <w:sz w:val="28"/>
          <w:szCs w:val="28"/>
        </w:rPr>
      </w:pPr>
      <w:r>
        <w:rPr>
          <w:rFonts w:hint="eastAsia" w:ascii="宋体" w:hAnsi="宋体" w:eastAsia="宋体" w:cs="宋体"/>
          <w:b w:val="0"/>
          <w:bCs w:val="0"/>
          <w:color w:val="auto"/>
          <w:sz w:val="28"/>
          <w:szCs w:val="28"/>
        </w:rPr>
        <w:t>2.0.</w:t>
      </w:r>
      <w:r>
        <w:rPr>
          <w:rFonts w:hint="eastAsia" w:ascii="宋体" w:hAnsi="宋体" w:eastAsia="宋体" w:cs="宋体"/>
          <w:b w:val="0"/>
          <w:bCs w:val="0"/>
          <w:color w:val="auto"/>
          <w:sz w:val="28"/>
          <w:szCs w:val="28"/>
          <w:lang w:val="en-US" w:eastAsia="zh-CN"/>
        </w:rPr>
        <w:t>10</w:t>
      </w:r>
      <w:r>
        <w:rPr>
          <w:rFonts w:hint="eastAsia" w:ascii="宋体" w:hAnsi="宋体" w:eastAsia="宋体" w:cs="宋体"/>
          <w:b w:val="0"/>
          <w:bCs w:val="0"/>
          <w:color w:val="auto"/>
          <w:sz w:val="28"/>
          <w:szCs w:val="28"/>
        </w:rPr>
        <w:t xml:space="preserve"> 有防火要求时，型钢混凝土构件</w:t>
      </w:r>
      <w:r>
        <w:rPr>
          <w:rFonts w:hint="eastAsia" w:ascii="宋体" w:hAnsi="宋体" w:eastAsia="宋体" w:cs="宋体"/>
          <w:b w:val="0"/>
          <w:bCs w:val="0"/>
          <w:color w:val="auto"/>
          <w:sz w:val="28"/>
          <w:szCs w:val="28"/>
          <w:lang w:val="en-US" w:eastAsia="zh-CN"/>
        </w:rPr>
        <w:t>未</w:t>
      </w:r>
      <w:r>
        <w:rPr>
          <w:rFonts w:hint="eastAsia" w:ascii="宋体" w:hAnsi="宋体" w:eastAsia="宋体" w:cs="宋体"/>
          <w:b w:val="0"/>
          <w:bCs w:val="0"/>
          <w:color w:val="auto"/>
          <w:sz w:val="28"/>
          <w:szCs w:val="28"/>
        </w:rPr>
        <w:t>采取防止火灾高温下混凝土爆裂的措施。</w:t>
      </w:r>
    </w:p>
    <w:p w14:paraId="2169DCBF">
      <w:pPr>
        <w:pageBreakBefore w:val="0"/>
        <w:kinsoku/>
        <w:wordWrap w:val="0"/>
        <w:topLinePunct w:val="0"/>
        <w:bidi w:val="0"/>
        <w:snapToGrid/>
        <w:spacing w:line="360" w:lineRule="auto"/>
        <w:ind w:firstLine="560"/>
        <w:textAlignment w:val="auto"/>
        <w:rPr>
          <w:rFonts w:hint="eastAsia" w:ascii="宋体" w:hAnsi="宋体" w:eastAsia="宋体" w:cs="宋体"/>
          <w:bCs/>
          <w:color w:val="auto"/>
          <w:kern w:val="0"/>
          <w:sz w:val="28"/>
          <w:szCs w:val="28"/>
        </w:rPr>
      </w:pPr>
      <w:r>
        <w:rPr>
          <w:rFonts w:hint="eastAsia" w:ascii="宋体" w:hAnsi="宋体" w:eastAsia="宋体" w:cs="宋体"/>
          <w:b/>
          <w:bCs/>
          <w:color w:val="auto"/>
          <w:sz w:val="28"/>
          <w:szCs w:val="28"/>
          <w:lang w:val="en-US" w:eastAsia="zh-CN"/>
        </w:rPr>
        <w:t>依据：</w:t>
      </w:r>
      <w:r>
        <w:rPr>
          <w:rFonts w:hint="eastAsia" w:ascii="宋体" w:hAnsi="宋体" w:eastAsia="宋体" w:cs="宋体"/>
          <w:bCs/>
          <w:color w:val="auto"/>
          <w:kern w:val="0"/>
          <w:sz w:val="28"/>
          <w:szCs w:val="28"/>
        </w:rPr>
        <w:t>《组合结构通用规范》（GB55004-2021）</w:t>
      </w:r>
      <w:r>
        <w:rPr>
          <w:rFonts w:hint="eastAsia" w:ascii="宋体" w:hAnsi="宋体" w:eastAsia="宋体" w:cs="宋体"/>
          <w:color w:val="auto"/>
          <w:sz w:val="28"/>
          <w:szCs w:val="28"/>
        </w:rPr>
        <w:t>第</w:t>
      </w:r>
      <w:r>
        <w:rPr>
          <w:rFonts w:hint="eastAsia" w:ascii="宋体" w:hAnsi="宋体" w:eastAsia="宋体" w:cs="宋体"/>
          <w:bCs/>
          <w:color w:val="auto"/>
          <w:kern w:val="0"/>
          <w:sz w:val="28"/>
          <w:szCs w:val="28"/>
        </w:rPr>
        <w:t>5.5.2</w:t>
      </w:r>
      <w:r>
        <w:rPr>
          <w:rFonts w:hint="eastAsia" w:ascii="宋体" w:hAnsi="宋体" w:cs="宋体"/>
          <w:bCs/>
          <w:color w:val="auto"/>
          <w:kern w:val="0"/>
          <w:sz w:val="28"/>
          <w:szCs w:val="28"/>
          <w:lang w:val="en-US" w:eastAsia="zh-CN"/>
        </w:rPr>
        <w:t>条</w:t>
      </w:r>
      <w:r>
        <w:rPr>
          <w:rFonts w:hint="eastAsia" w:ascii="宋体" w:hAnsi="宋体" w:eastAsia="宋体" w:cs="宋体"/>
          <w:bCs/>
          <w:color w:val="auto"/>
          <w:kern w:val="0"/>
          <w:sz w:val="28"/>
          <w:szCs w:val="28"/>
        </w:rPr>
        <w:t>，</w:t>
      </w:r>
      <w:r>
        <w:rPr>
          <w:rFonts w:hint="eastAsia" w:ascii="宋体" w:hAnsi="宋体" w:eastAsia="宋体" w:cs="宋体"/>
          <w:bCs/>
          <w:color w:val="auto"/>
          <w:kern w:val="0"/>
          <w:sz w:val="28"/>
          <w:szCs w:val="28"/>
          <w:lang w:val="en-US" w:eastAsia="zh-CN"/>
        </w:rPr>
        <w:t>有防火要求时，型钢混凝土构件应采取防止火灾高温下混凝土爆裂</w:t>
      </w:r>
      <w:r>
        <w:rPr>
          <w:rFonts w:hint="eastAsia" w:ascii="宋体" w:hAnsi="宋体" w:eastAsia="宋体" w:cs="宋体"/>
          <w:bCs/>
          <w:color w:val="auto"/>
          <w:kern w:val="0"/>
          <w:sz w:val="28"/>
          <w:szCs w:val="28"/>
        </w:rPr>
        <w:t>的措施。</w:t>
      </w:r>
    </w:p>
    <w:p w14:paraId="2F531A73">
      <w:pPr>
        <w:pageBreakBefore w:val="0"/>
        <w:kinsoku/>
        <w:wordWrap w:val="0"/>
        <w:topLinePunct w:val="0"/>
        <w:bidi w:val="0"/>
        <w:snapToGrid/>
        <w:textAlignment w:val="auto"/>
        <w:rPr>
          <w:rFonts w:hint="eastAsia" w:ascii="宋体" w:hAnsi="宋体" w:eastAsia="宋体" w:cs="宋体"/>
          <w:bCs/>
          <w:kern w:val="0"/>
          <w:sz w:val="28"/>
          <w:szCs w:val="28"/>
          <w:lang w:val="en-US" w:eastAsia="zh-CN"/>
        </w:rPr>
      </w:pPr>
    </w:p>
    <w:p w14:paraId="1D901620">
      <w:pPr>
        <w:pageBreakBefore w:val="0"/>
        <w:kinsoku/>
        <w:wordWrap w:val="0"/>
        <w:overflowPunct w:val="0"/>
        <w:topLinePunct w:val="0"/>
        <w:bidi w:val="0"/>
        <w:snapToGrid/>
        <w:spacing w:line="240" w:lineRule="auto"/>
        <w:ind w:left="0" w:firstLine="560" w:firstLineChars="200"/>
        <w:jc w:val="both"/>
        <w:textAlignment w:val="auto"/>
        <w:rPr>
          <w:rFonts w:hint="eastAsia" w:ascii="宋体" w:hAnsi="宋体" w:eastAsia="宋体" w:cs="宋体"/>
          <w:b w:val="0"/>
          <w:bCs w:val="0"/>
          <w:color w:val="auto"/>
          <w:sz w:val="28"/>
          <w:szCs w:val="28"/>
        </w:rPr>
      </w:pPr>
      <w:r>
        <w:rPr>
          <w:rFonts w:hint="eastAsia" w:ascii="宋体" w:hAnsi="宋体" w:eastAsia="宋体" w:cs="宋体"/>
          <w:b w:val="0"/>
          <w:bCs w:val="0"/>
          <w:color w:val="auto"/>
          <w:sz w:val="28"/>
          <w:szCs w:val="28"/>
        </w:rPr>
        <w:t>2.0.1</w:t>
      </w:r>
      <w:r>
        <w:rPr>
          <w:rFonts w:hint="eastAsia" w:ascii="宋体" w:hAnsi="宋体" w:eastAsia="宋体" w:cs="宋体"/>
          <w:b w:val="0"/>
          <w:bCs w:val="0"/>
          <w:color w:val="auto"/>
          <w:sz w:val="28"/>
          <w:szCs w:val="28"/>
          <w:lang w:val="en-US" w:eastAsia="zh-CN"/>
        </w:rPr>
        <w:t>1</w:t>
      </w:r>
      <w:r>
        <w:rPr>
          <w:rFonts w:hint="eastAsia" w:ascii="宋体" w:hAnsi="宋体" w:eastAsia="宋体" w:cs="宋体"/>
          <w:b w:val="0"/>
          <w:bCs w:val="0"/>
          <w:color w:val="auto"/>
          <w:sz w:val="28"/>
          <w:szCs w:val="28"/>
        </w:rPr>
        <w:t xml:space="preserve"> 当被加固构件的表面有防火要求时</w:t>
      </w:r>
      <w:r>
        <w:rPr>
          <w:rFonts w:hint="eastAsia" w:ascii="宋体" w:hAnsi="宋体" w:eastAsia="宋体" w:cs="宋体"/>
          <w:b w:val="0"/>
          <w:bCs w:val="0"/>
          <w:color w:val="auto"/>
          <w:sz w:val="28"/>
          <w:szCs w:val="28"/>
          <w:lang w:eastAsia="zh-CN"/>
        </w:rPr>
        <w:t>，</w:t>
      </w:r>
      <w:r>
        <w:rPr>
          <w:rFonts w:hint="eastAsia" w:ascii="宋体" w:hAnsi="宋体" w:eastAsia="宋体" w:cs="宋体"/>
          <w:b w:val="0"/>
          <w:bCs w:val="0"/>
          <w:color w:val="auto"/>
          <w:sz w:val="28"/>
          <w:szCs w:val="28"/>
        </w:rPr>
        <w:t>其防护层效能</w:t>
      </w:r>
      <w:r>
        <w:rPr>
          <w:rFonts w:hint="eastAsia" w:ascii="宋体" w:hAnsi="宋体" w:eastAsia="宋体" w:cs="宋体"/>
          <w:b w:val="0"/>
          <w:bCs w:val="0"/>
          <w:color w:val="auto"/>
          <w:sz w:val="28"/>
          <w:szCs w:val="28"/>
          <w:lang w:val="en-US" w:eastAsia="zh-CN"/>
        </w:rPr>
        <w:t>不</w:t>
      </w:r>
      <w:r>
        <w:rPr>
          <w:rFonts w:hint="eastAsia" w:ascii="宋体" w:hAnsi="宋体" w:eastAsia="宋体" w:cs="宋体"/>
          <w:b w:val="0"/>
          <w:bCs w:val="0"/>
          <w:color w:val="auto"/>
          <w:sz w:val="28"/>
          <w:szCs w:val="28"/>
        </w:rPr>
        <w:t>符合耐火等级及耐火极限要求。</w:t>
      </w:r>
    </w:p>
    <w:p w14:paraId="19538CB3">
      <w:pPr>
        <w:pageBreakBefore w:val="0"/>
        <w:kinsoku/>
        <w:wordWrap w:val="0"/>
        <w:topLinePunct w:val="0"/>
        <w:bidi w:val="0"/>
        <w:snapToGrid/>
        <w:spacing w:line="360" w:lineRule="auto"/>
        <w:ind w:firstLine="560"/>
        <w:textAlignment w:val="auto"/>
        <w:rPr>
          <w:rFonts w:hint="eastAsia" w:ascii="宋体" w:hAnsi="宋体" w:eastAsia="宋体" w:cs="宋体"/>
          <w:bCs/>
          <w:color w:val="auto"/>
          <w:kern w:val="0"/>
          <w:sz w:val="28"/>
          <w:szCs w:val="28"/>
        </w:rPr>
      </w:pPr>
      <w:r>
        <w:rPr>
          <w:rFonts w:hint="eastAsia" w:ascii="宋体" w:hAnsi="宋体" w:eastAsia="宋体" w:cs="宋体"/>
          <w:b/>
          <w:bCs/>
          <w:color w:val="auto"/>
          <w:sz w:val="28"/>
          <w:szCs w:val="28"/>
          <w:lang w:val="en-US" w:eastAsia="zh-CN"/>
        </w:rPr>
        <w:t>依据：</w:t>
      </w:r>
      <w:r>
        <w:rPr>
          <w:rFonts w:hint="eastAsia" w:ascii="宋体" w:hAnsi="宋体" w:eastAsia="宋体" w:cs="宋体"/>
          <w:bCs/>
          <w:color w:val="auto"/>
          <w:kern w:val="0"/>
          <w:sz w:val="28"/>
          <w:szCs w:val="28"/>
        </w:rPr>
        <w:t>《既有建筑鉴定与加固通用规范》(GB55021-2021)</w:t>
      </w:r>
      <w:r>
        <w:rPr>
          <w:rFonts w:hint="eastAsia" w:ascii="宋体" w:hAnsi="宋体" w:eastAsia="宋体" w:cs="宋体"/>
          <w:color w:val="auto"/>
          <w:sz w:val="28"/>
          <w:szCs w:val="28"/>
        </w:rPr>
        <w:t>第</w:t>
      </w:r>
      <w:r>
        <w:rPr>
          <w:rFonts w:hint="eastAsia" w:ascii="宋体" w:hAnsi="宋体" w:eastAsia="宋体" w:cs="宋体"/>
          <w:bCs/>
          <w:color w:val="auto"/>
          <w:kern w:val="0"/>
          <w:sz w:val="28"/>
          <w:szCs w:val="28"/>
        </w:rPr>
        <w:t>6.2.5</w:t>
      </w:r>
      <w:r>
        <w:rPr>
          <w:rFonts w:hint="eastAsia" w:ascii="宋体" w:hAnsi="宋体" w:cs="宋体"/>
          <w:bCs/>
          <w:color w:val="auto"/>
          <w:kern w:val="0"/>
          <w:sz w:val="28"/>
          <w:szCs w:val="28"/>
          <w:lang w:val="en-US" w:eastAsia="zh-CN"/>
        </w:rPr>
        <w:t>条</w:t>
      </w:r>
      <w:r>
        <w:rPr>
          <w:rFonts w:hint="eastAsia" w:ascii="宋体" w:hAnsi="宋体" w:eastAsia="宋体" w:cs="宋体"/>
          <w:bCs/>
          <w:color w:val="auto"/>
          <w:kern w:val="0"/>
          <w:sz w:val="28"/>
          <w:szCs w:val="28"/>
        </w:rPr>
        <w:t>，当被加固构件的表面有防火要求时</w:t>
      </w:r>
      <w:r>
        <w:rPr>
          <w:rFonts w:hint="eastAsia" w:ascii="宋体" w:hAnsi="宋体" w:eastAsia="宋体" w:cs="宋体"/>
          <w:bCs/>
          <w:color w:val="auto"/>
          <w:kern w:val="0"/>
          <w:sz w:val="28"/>
          <w:szCs w:val="28"/>
          <w:lang w:eastAsia="zh-CN"/>
        </w:rPr>
        <w:t>，</w:t>
      </w:r>
      <w:r>
        <w:rPr>
          <w:rFonts w:hint="eastAsia" w:ascii="宋体" w:hAnsi="宋体" w:eastAsia="宋体" w:cs="宋体"/>
          <w:bCs/>
          <w:color w:val="auto"/>
          <w:kern w:val="0"/>
          <w:sz w:val="28"/>
          <w:szCs w:val="28"/>
        </w:rPr>
        <w:t>其防护层效能应符合耐火等级及耐火极限要求。</w:t>
      </w:r>
    </w:p>
    <w:p w14:paraId="3D97A672">
      <w:pPr>
        <w:pageBreakBefore w:val="0"/>
        <w:kinsoku/>
        <w:wordWrap w:val="0"/>
        <w:overflowPunct w:val="0"/>
        <w:topLinePunct w:val="0"/>
        <w:bidi w:val="0"/>
        <w:snapToGrid/>
        <w:spacing w:line="360" w:lineRule="auto"/>
        <w:ind w:firstLine="560"/>
        <w:textAlignment w:val="auto"/>
        <w:rPr>
          <w:rFonts w:hint="eastAsia" w:ascii="宋体" w:hAnsi="宋体" w:eastAsia="宋体" w:cs="宋体"/>
          <w:sz w:val="28"/>
          <w:szCs w:val="28"/>
        </w:rPr>
      </w:pPr>
      <w:r>
        <w:rPr>
          <w:rFonts w:hint="eastAsia" w:ascii="宋体" w:hAnsi="宋体" w:eastAsia="宋体" w:cs="宋体"/>
          <w:sz w:val="28"/>
          <w:szCs w:val="28"/>
          <w:lang w:eastAsia="zh-CN"/>
        </w:rPr>
        <w:t>案例：</w:t>
      </w:r>
      <w:r>
        <w:rPr>
          <w:rFonts w:hint="eastAsia" w:ascii="宋体" w:hAnsi="宋体" w:eastAsia="宋体" w:cs="宋体"/>
          <w:sz w:val="28"/>
          <w:szCs w:val="28"/>
        </w:rPr>
        <w:t>某加固项目中，梁、柱构件采用粘贴碳纤维复合材、粘贴钢板等加固，碳纤维和钢板表面未涂刷防火涂料，因结构胶粘剂在高温下易失效，其防护层效能不符合耐火等级及耐火极限要求。</w:t>
      </w:r>
    </w:p>
    <w:p w14:paraId="0978826C">
      <w:pPr>
        <w:pageBreakBefore w:val="0"/>
        <w:kinsoku/>
        <w:wordWrap w:val="0"/>
        <w:topLinePunct w:val="0"/>
        <w:bidi w:val="0"/>
        <w:snapToGrid/>
        <w:spacing w:line="360" w:lineRule="auto"/>
        <w:ind w:firstLine="560"/>
        <w:textAlignment w:val="auto"/>
        <w:rPr>
          <w:rFonts w:hint="eastAsia" w:ascii="宋体" w:hAnsi="宋体" w:eastAsia="宋体" w:cs="宋体"/>
          <w:bCs/>
          <w:color w:val="auto"/>
          <w:kern w:val="0"/>
          <w:sz w:val="28"/>
          <w:szCs w:val="28"/>
        </w:rPr>
      </w:pPr>
    </w:p>
    <w:p w14:paraId="757C4C7F">
      <w:pPr>
        <w:pageBreakBefore w:val="0"/>
        <w:kinsoku/>
        <w:wordWrap w:val="0"/>
        <w:overflowPunct w:val="0"/>
        <w:topLinePunct w:val="0"/>
        <w:bidi w:val="0"/>
        <w:snapToGrid/>
        <w:spacing w:line="240" w:lineRule="auto"/>
        <w:ind w:left="0" w:firstLine="560" w:firstLineChars="200"/>
        <w:textAlignment w:val="auto"/>
        <w:rPr>
          <w:rFonts w:hint="eastAsia" w:ascii="宋体" w:hAnsi="宋体" w:eastAsia="宋体" w:cs="宋体"/>
          <w:b w:val="0"/>
          <w:bCs/>
          <w:color w:val="auto"/>
          <w:kern w:val="0"/>
          <w:sz w:val="28"/>
          <w:szCs w:val="28"/>
          <w:lang w:eastAsia="zh-CN"/>
        </w:rPr>
      </w:pPr>
      <w:r>
        <w:rPr>
          <w:rFonts w:hint="eastAsia" w:ascii="宋体" w:hAnsi="宋体" w:eastAsia="宋体" w:cs="宋体"/>
          <w:b w:val="0"/>
          <w:bCs/>
          <w:color w:val="auto"/>
          <w:kern w:val="0"/>
          <w:sz w:val="28"/>
          <w:szCs w:val="28"/>
        </w:rPr>
        <w:t>2.0.</w:t>
      </w:r>
      <w:r>
        <w:rPr>
          <w:rFonts w:hint="eastAsia" w:ascii="宋体" w:hAnsi="宋体" w:eastAsia="宋体" w:cs="宋体"/>
          <w:b w:val="0"/>
          <w:bCs/>
          <w:color w:val="auto"/>
          <w:kern w:val="0"/>
          <w:sz w:val="28"/>
          <w:szCs w:val="28"/>
          <w:lang w:val="en-US" w:eastAsia="zh-CN"/>
        </w:rPr>
        <w:t>12</w:t>
      </w:r>
      <w:r>
        <w:rPr>
          <w:rFonts w:hint="eastAsia" w:ascii="宋体" w:hAnsi="宋体" w:eastAsia="宋体" w:cs="宋体"/>
          <w:b w:val="0"/>
          <w:bCs/>
          <w:color w:val="auto"/>
          <w:kern w:val="0"/>
          <w:sz w:val="28"/>
          <w:szCs w:val="28"/>
        </w:rPr>
        <w:t xml:space="preserve"> 耐火极限大于1.5h的构件，选用膨胀型防火涂料</w:t>
      </w:r>
      <w:r>
        <w:rPr>
          <w:rFonts w:hint="eastAsia" w:ascii="宋体" w:hAnsi="宋体" w:eastAsia="宋体" w:cs="宋体"/>
          <w:b w:val="0"/>
          <w:bCs/>
          <w:color w:val="auto"/>
          <w:kern w:val="0"/>
          <w:sz w:val="28"/>
          <w:szCs w:val="28"/>
          <w:lang w:eastAsia="zh-CN"/>
        </w:rPr>
        <w:t>。</w:t>
      </w:r>
    </w:p>
    <w:p w14:paraId="69D9FB61">
      <w:pPr>
        <w:pageBreakBefore w:val="0"/>
        <w:kinsoku/>
        <w:wordWrap w:val="0"/>
        <w:overflowPunct w:val="0"/>
        <w:topLinePunct w:val="0"/>
        <w:bidi w:val="0"/>
        <w:snapToGrid/>
        <w:spacing w:line="360" w:lineRule="auto"/>
        <w:ind w:left="210" w:leftChars="100" w:firstLine="281" w:firstLineChars="100"/>
        <w:jc w:val="left"/>
        <w:textAlignment w:val="auto"/>
        <w:rPr>
          <w:rFonts w:hint="eastAsia" w:ascii="宋体" w:hAnsi="宋体" w:eastAsia="宋体" w:cs="宋体"/>
          <w:color w:val="auto"/>
          <w:sz w:val="28"/>
          <w:szCs w:val="28"/>
        </w:rPr>
      </w:pPr>
      <w:r>
        <w:rPr>
          <w:rFonts w:hint="eastAsia" w:ascii="宋体" w:hAnsi="宋体" w:eastAsia="宋体" w:cs="宋体"/>
          <w:b/>
          <w:bCs/>
          <w:color w:val="auto"/>
          <w:sz w:val="28"/>
          <w:szCs w:val="28"/>
        </w:rPr>
        <w:t>依据：</w:t>
      </w:r>
      <w:r>
        <w:rPr>
          <w:rFonts w:hint="eastAsia" w:ascii="宋体" w:hAnsi="宋体" w:eastAsia="宋体" w:cs="宋体"/>
          <w:color w:val="auto"/>
          <w:sz w:val="28"/>
          <w:szCs w:val="28"/>
        </w:rPr>
        <w:t>《建筑钢结构防火技术规范》</w:t>
      </w:r>
      <w:r>
        <w:rPr>
          <w:rFonts w:hint="eastAsia" w:ascii="宋体" w:hAnsi="宋体" w:eastAsia="宋体" w:cs="宋体"/>
          <w:color w:val="auto"/>
          <w:sz w:val="28"/>
          <w:szCs w:val="28"/>
          <w:lang w:eastAsia="zh-CN"/>
        </w:rPr>
        <w:t>（</w:t>
      </w:r>
      <w:r>
        <w:rPr>
          <w:rFonts w:hint="eastAsia" w:ascii="宋体" w:hAnsi="宋体" w:eastAsia="宋体" w:cs="宋体"/>
          <w:color w:val="auto"/>
          <w:sz w:val="28"/>
          <w:szCs w:val="28"/>
        </w:rPr>
        <w:t>GB51249-2017</w:t>
      </w:r>
      <w:r>
        <w:rPr>
          <w:rFonts w:hint="eastAsia" w:ascii="宋体" w:hAnsi="宋体" w:eastAsia="宋体" w:cs="宋体"/>
          <w:color w:val="auto"/>
          <w:sz w:val="28"/>
          <w:szCs w:val="28"/>
          <w:lang w:eastAsia="zh-CN"/>
        </w:rPr>
        <w:t>）</w:t>
      </w:r>
      <w:r>
        <w:rPr>
          <w:rFonts w:hint="eastAsia" w:ascii="宋体" w:hAnsi="宋体" w:eastAsia="宋体" w:cs="宋体"/>
          <w:color w:val="auto"/>
          <w:sz w:val="28"/>
          <w:szCs w:val="28"/>
        </w:rPr>
        <w:t>第4.1.3</w:t>
      </w:r>
      <w:r>
        <w:rPr>
          <w:rFonts w:hint="eastAsia" w:ascii="宋体" w:hAnsi="宋体" w:cs="宋体"/>
          <w:color w:val="auto"/>
          <w:sz w:val="28"/>
          <w:szCs w:val="28"/>
          <w:lang w:val="en-US" w:eastAsia="zh-CN"/>
        </w:rPr>
        <w:t>条</w:t>
      </w:r>
      <w:r>
        <w:rPr>
          <w:rFonts w:hint="eastAsia" w:ascii="宋体" w:hAnsi="宋体" w:eastAsia="宋体" w:cs="宋体"/>
          <w:color w:val="auto"/>
          <w:sz w:val="28"/>
          <w:szCs w:val="28"/>
        </w:rPr>
        <w:t>，设计耐火极限大于1.5h的构件，不宜选用膨胀型防火涂料。</w:t>
      </w:r>
    </w:p>
    <w:p w14:paraId="0F01AA99">
      <w:pPr>
        <w:pageBreakBefore w:val="0"/>
        <w:kinsoku/>
        <w:wordWrap w:val="0"/>
        <w:overflowPunct w:val="0"/>
        <w:topLinePunct w:val="0"/>
        <w:bidi w:val="0"/>
        <w:snapToGrid/>
        <w:spacing w:line="360" w:lineRule="auto"/>
        <w:ind w:firstLine="560"/>
        <w:textAlignment w:val="auto"/>
        <w:rPr>
          <w:rFonts w:hint="eastAsia" w:ascii="宋体" w:hAnsi="宋体" w:eastAsia="宋体" w:cs="宋体"/>
          <w:sz w:val="28"/>
          <w:szCs w:val="28"/>
        </w:rPr>
      </w:pPr>
      <w:r>
        <w:rPr>
          <w:rFonts w:hint="eastAsia" w:ascii="宋体" w:hAnsi="宋体" w:eastAsia="宋体" w:cs="宋体"/>
          <w:sz w:val="28"/>
          <w:szCs w:val="28"/>
          <w:lang w:eastAsia="zh-CN"/>
        </w:rPr>
        <w:t>案例：</w:t>
      </w:r>
      <w:r>
        <w:rPr>
          <w:rFonts w:hint="eastAsia" w:ascii="宋体" w:hAnsi="宋体" w:eastAsia="宋体" w:cs="宋体"/>
          <w:sz w:val="28"/>
          <w:szCs w:val="28"/>
        </w:rPr>
        <w:t>某项目钢结构耐火极限要求3小时，选用膨胀性涂料</w:t>
      </w:r>
      <w:r>
        <w:rPr>
          <w:rFonts w:hint="eastAsia" w:ascii="宋体" w:hAnsi="宋体" w:cs="宋体"/>
          <w:color w:val="000000"/>
          <w:sz w:val="28"/>
          <w:lang w:eastAsia="zh-CN"/>
        </w:rPr>
        <w:t>，不满足上述规范要求</w:t>
      </w:r>
      <w:r>
        <w:rPr>
          <w:rFonts w:hint="eastAsia" w:ascii="宋体" w:hAnsi="宋体" w:cs="宋体"/>
          <w:spacing w:val="-4"/>
          <w:sz w:val="28"/>
          <w:szCs w:val="28"/>
        </w:rPr>
        <w:t>。</w:t>
      </w:r>
    </w:p>
    <w:p w14:paraId="6B60B137">
      <w:pPr>
        <w:pageBreakBefore w:val="0"/>
        <w:kinsoku/>
        <w:wordWrap w:val="0"/>
        <w:overflowPunct/>
        <w:topLinePunct w:val="0"/>
        <w:bidi w:val="0"/>
        <w:snapToGrid/>
        <w:spacing w:line="240" w:lineRule="auto"/>
        <w:ind w:firstLine="0"/>
        <w:textAlignment w:val="auto"/>
        <w:rPr>
          <w:rFonts w:hint="eastAsia" w:ascii="宋体" w:hAnsi="宋体" w:eastAsia="宋体" w:cs="宋体"/>
          <w:sz w:val="28"/>
          <w:szCs w:val="28"/>
        </w:rPr>
      </w:pPr>
      <w:r>
        <w:rPr>
          <w:rFonts w:hint="eastAsia" w:ascii="宋体" w:hAnsi="宋体" w:eastAsia="宋体" w:cs="宋体"/>
          <w:sz w:val="28"/>
          <w:szCs w:val="28"/>
        </w:rPr>
        <w:br w:type="page"/>
      </w:r>
    </w:p>
    <w:p w14:paraId="5FB5AEFC">
      <w:pPr>
        <w:pStyle w:val="3"/>
        <w:pageBreakBefore w:val="0"/>
        <w:kinsoku/>
        <w:wordWrap w:val="0"/>
        <w:topLinePunct w:val="0"/>
        <w:bidi w:val="0"/>
        <w:snapToGrid/>
        <w:jc w:val="center"/>
        <w:textAlignment w:val="auto"/>
        <w:rPr>
          <w:rFonts w:hint="eastAsia" w:ascii="宋体" w:hAnsi="宋体" w:cs="宋体"/>
          <w:spacing w:val="-4"/>
          <w:sz w:val="28"/>
          <w:szCs w:val="28"/>
        </w:rPr>
      </w:pPr>
      <w:r>
        <w:rPr>
          <w:rFonts w:hint="eastAsia" w:ascii="宋体" w:hAnsi="宋体" w:cs="宋体"/>
          <w:spacing w:val="-4"/>
          <w:sz w:val="28"/>
          <w:szCs w:val="28"/>
        </w:rPr>
        <w:t>3 给排水</w:t>
      </w:r>
    </w:p>
    <w:p w14:paraId="55AB6A1A">
      <w:pPr>
        <w:pageBreakBefore w:val="0"/>
        <w:kinsoku/>
        <w:wordWrap w:val="0"/>
        <w:overflowPunct w:val="0"/>
        <w:topLinePunct w:val="0"/>
        <w:bidi w:val="0"/>
        <w:snapToGrid/>
        <w:ind w:firstLine="560"/>
        <w:textAlignment w:val="auto"/>
        <w:rPr>
          <w:rFonts w:hint="eastAsia" w:ascii="宋体" w:hAnsi="宋体" w:cs="宋体"/>
          <w:bCs/>
          <w:color w:val="000000"/>
          <w:sz w:val="28"/>
          <w:szCs w:val="28"/>
        </w:rPr>
      </w:pPr>
      <w:r>
        <w:rPr>
          <w:rFonts w:hint="eastAsia" w:ascii="宋体" w:hAnsi="宋体" w:cs="宋体"/>
          <w:bCs/>
          <w:color w:val="000000"/>
          <w:sz w:val="28"/>
          <w:szCs w:val="28"/>
        </w:rPr>
        <w:t>3.0.1</w:t>
      </w:r>
      <w:r>
        <w:rPr>
          <w:rFonts w:hint="eastAsia" w:ascii="宋体" w:hAnsi="宋体" w:cs="宋体"/>
          <w:bCs/>
          <w:color w:val="000000"/>
          <w:sz w:val="28"/>
          <w:szCs w:val="28"/>
          <w:lang w:val="en-US" w:eastAsia="zh-CN"/>
        </w:rPr>
        <w:t xml:space="preserve"> </w:t>
      </w:r>
      <w:r>
        <w:rPr>
          <w:rFonts w:hint="eastAsia" w:ascii="宋体" w:hAnsi="宋体" w:cs="宋体"/>
          <w:bCs/>
          <w:color w:val="000000"/>
          <w:sz w:val="28"/>
          <w:szCs w:val="28"/>
        </w:rPr>
        <w:t>装设网格、栅板类通透性吊顶的场所，自动喷水灭火系统喷水强度未按规定乘系数，设计流量不满足规范要求。</w:t>
      </w:r>
    </w:p>
    <w:p w14:paraId="5A651AED">
      <w:pPr>
        <w:pageBreakBefore w:val="0"/>
        <w:kinsoku/>
        <w:wordWrap w:val="0"/>
        <w:overflowPunct w:val="0"/>
        <w:topLinePunct w:val="0"/>
        <w:bidi w:val="0"/>
        <w:snapToGrid/>
        <w:ind w:firstLine="562"/>
        <w:textAlignment w:val="auto"/>
        <w:rPr>
          <w:rFonts w:hint="eastAsia" w:ascii="宋体" w:hAnsi="宋体" w:cs="宋体"/>
          <w:bCs/>
          <w:color w:val="000000"/>
          <w:sz w:val="28"/>
          <w:szCs w:val="28"/>
        </w:rPr>
      </w:pPr>
      <w:r>
        <w:rPr>
          <w:rFonts w:hint="eastAsia" w:ascii="宋体" w:hAnsi="宋体" w:cs="宋体"/>
          <w:b/>
          <w:color w:val="000000"/>
          <w:sz w:val="28"/>
          <w:szCs w:val="28"/>
        </w:rPr>
        <w:t>依据：</w:t>
      </w:r>
      <w:r>
        <w:rPr>
          <w:rFonts w:hint="eastAsia" w:ascii="宋体" w:hAnsi="宋体" w:cs="宋体"/>
          <w:bCs/>
          <w:color w:val="000000"/>
          <w:sz w:val="28"/>
          <w:szCs w:val="28"/>
        </w:rPr>
        <w:t>《自动喷水灭火系统设计规范》</w:t>
      </w:r>
      <w:r>
        <w:rPr>
          <w:rFonts w:hint="eastAsia" w:ascii="宋体" w:hAnsi="宋体" w:cs="宋体"/>
          <w:bCs/>
          <w:color w:val="000000"/>
          <w:sz w:val="28"/>
          <w:szCs w:val="28"/>
          <w:lang w:eastAsia="zh-CN"/>
        </w:rPr>
        <w:t>（</w:t>
      </w:r>
      <w:r>
        <w:rPr>
          <w:rFonts w:hint="eastAsia" w:ascii="宋体" w:hAnsi="宋体" w:cs="宋体"/>
          <w:bCs/>
          <w:color w:val="000000"/>
          <w:sz w:val="28"/>
          <w:szCs w:val="28"/>
        </w:rPr>
        <w:t>GB50084-2017</w:t>
      </w:r>
      <w:r>
        <w:rPr>
          <w:rFonts w:hint="eastAsia" w:ascii="宋体" w:hAnsi="宋体" w:cs="宋体"/>
          <w:bCs/>
          <w:color w:val="000000"/>
          <w:sz w:val="28"/>
          <w:szCs w:val="28"/>
          <w:lang w:eastAsia="zh-CN"/>
        </w:rPr>
        <w:t>）</w:t>
      </w:r>
      <w:r>
        <w:rPr>
          <w:rFonts w:hint="eastAsia" w:ascii="宋体" w:hAnsi="宋体" w:cs="宋体"/>
          <w:bCs/>
          <w:color w:val="000000"/>
          <w:sz w:val="28"/>
          <w:szCs w:val="28"/>
        </w:rPr>
        <w:t>第5.0.13条，装设网格、栅板类通透性吊顶的场所，系统的喷水强度应按“喷规”表5.O.1、表5.0.4-1~表5.0.4-5规定值的1.3倍确定，且喷头布置应按第7.1.13条的规定执行。</w:t>
      </w:r>
    </w:p>
    <w:p w14:paraId="66C775EB">
      <w:pPr>
        <w:pageBreakBefore w:val="0"/>
        <w:kinsoku/>
        <w:wordWrap w:val="0"/>
        <w:overflowPunct w:val="0"/>
        <w:topLinePunct w:val="0"/>
        <w:bidi w:val="0"/>
        <w:snapToGrid/>
        <w:ind w:firstLine="560"/>
        <w:textAlignment w:val="auto"/>
        <w:rPr>
          <w:rFonts w:hint="eastAsia" w:ascii="宋体" w:hAnsi="宋体" w:cs="宋体"/>
          <w:bCs/>
          <w:color w:val="000000"/>
          <w:sz w:val="28"/>
          <w:szCs w:val="28"/>
        </w:rPr>
      </w:pPr>
      <w:r>
        <w:rPr>
          <w:rFonts w:hint="eastAsia" w:ascii="宋体" w:hAnsi="宋体" w:cs="宋体"/>
          <w:bCs/>
          <w:color w:val="000000"/>
          <w:sz w:val="28"/>
          <w:szCs w:val="28"/>
        </w:rPr>
        <w:t>案例：某车站站台公共区吊顶按通透格栅板设计，设计自喷危险级为中危险级Ⅱ级，设计选用的自喷系统设计流量为23L/s，未按规定乘1.3倍系数，不能满足该区域的喷水强度要求。</w:t>
      </w:r>
    </w:p>
    <w:p w14:paraId="7E9C94C7">
      <w:pPr>
        <w:pageBreakBefore w:val="0"/>
        <w:kinsoku/>
        <w:wordWrap w:val="0"/>
        <w:overflowPunct w:val="0"/>
        <w:topLinePunct w:val="0"/>
        <w:bidi w:val="0"/>
        <w:snapToGrid/>
        <w:ind w:firstLine="560"/>
        <w:textAlignment w:val="auto"/>
        <w:rPr>
          <w:rFonts w:hint="eastAsia" w:ascii="宋体" w:hAnsi="宋体" w:cs="宋体"/>
          <w:bCs/>
          <w:color w:val="000000"/>
          <w:sz w:val="28"/>
          <w:szCs w:val="28"/>
        </w:rPr>
      </w:pPr>
    </w:p>
    <w:p w14:paraId="5540D345">
      <w:pPr>
        <w:pageBreakBefore w:val="0"/>
        <w:kinsoku/>
        <w:wordWrap w:val="0"/>
        <w:overflowPunct w:val="0"/>
        <w:topLinePunct w:val="0"/>
        <w:bidi w:val="0"/>
        <w:snapToGrid/>
        <w:ind w:firstLine="560"/>
        <w:textAlignment w:val="auto"/>
        <w:rPr>
          <w:rFonts w:hint="eastAsia" w:ascii="宋体" w:hAnsi="宋体" w:cs="宋体"/>
          <w:bCs/>
          <w:color w:val="000000"/>
          <w:sz w:val="28"/>
          <w:szCs w:val="28"/>
        </w:rPr>
      </w:pPr>
      <w:r>
        <w:rPr>
          <w:rFonts w:hint="eastAsia" w:ascii="宋体" w:hAnsi="宋体" w:cs="宋体"/>
          <w:bCs/>
          <w:color w:val="000000"/>
          <w:sz w:val="28"/>
          <w:szCs w:val="28"/>
        </w:rPr>
        <w:t>3.0.2</w:t>
      </w:r>
      <w:r>
        <w:rPr>
          <w:rFonts w:hint="eastAsia" w:ascii="宋体" w:hAnsi="宋体" w:cs="宋体"/>
          <w:bCs/>
          <w:color w:val="000000"/>
          <w:sz w:val="28"/>
          <w:szCs w:val="28"/>
          <w:lang w:val="en-US" w:eastAsia="zh-CN"/>
        </w:rPr>
        <w:t xml:space="preserve"> </w:t>
      </w:r>
      <w:r>
        <w:rPr>
          <w:rFonts w:hint="eastAsia" w:ascii="宋体" w:hAnsi="宋体" w:cs="宋体"/>
          <w:bCs/>
          <w:color w:val="000000"/>
          <w:sz w:val="28"/>
          <w:szCs w:val="28"/>
        </w:rPr>
        <w:t>供水高度超过24m时消防水泵出水管未设置水锤消除器或囊式气压水罐。</w:t>
      </w:r>
    </w:p>
    <w:p w14:paraId="7784F9FB">
      <w:pPr>
        <w:pageBreakBefore w:val="0"/>
        <w:kinsoku/>
        <w:wordWrap w:val="0"/>
        <w:overflowPunct w:val="0"/>
        <w:topLinePunct w:val="0"/>
        <w:bidi w:val="0"/>
        <w:snapToGrid/>
        <w:ind w:firstLine="562"/>
        <w:textAlignment w:val="auto"/>
        <w:rPr>
          <w:rFonts w:hint="eastAsia" w:ascii="宋体" w:hAnsi="宋体" w:cs="宋体"/>
          <w:bCs/>
          <w:color w:val="000000"/>
          <w:sz w:val="28"/>
          <w:szCs w:val="28"/>
        </w:rPr>
      </w:pPr>
      <w:r>
        <w:rPr>
          <w:rFonts w:hint="eastAsia" w:ascii="宋体" w:hAnsi="宋体" w:cs="宋体"/>
          <w:b/>
          <w:color w:val="000000"/>
          <w:sz w:val="28"/>
          <w:szCs w:val="28"/>
        </w:rPr>
        <w:t>依据：</w:t>
      </w:r>
      <w:r>
        <w:rPr>
          <w:rFonts w:hint="eastAsia" w:ascii="宋体" w:hAnsi="宋体" w:cs="宋体"/>
          <w:bCs/>
          <w:color w:val="000000"/>
          <w:sz w:val="28"/>
          <w:szCs w:val="28"/>
        </w:rPr>
        <w:t>《消防给水及消火栓系统技术规范》（GB50974-2014）第8.3.3条</w:t>
      </w:r>
      <w:r>
        <w:rPr>
          <w:rFonts w:hint="eastAsia" w:ascii="宋体" w:hAnsi="宋体" w:cs="宋体"/>
          <w:bCs/>
          <w:color w:val="000000"/>
          <w:sz w:val="28"/>
          <w:szCs w:val="28"/>
          <w:lang w:eastAsia="zh-CN"/>
        </w:rPr>
        <w:t>，</w:t>
      </w:r>
      <w:r>
        <w:rPr>
          <w:rFonts w:hint="eastAsia" w:ascii="宋体" w:hAnsi="宋体" w:cs="宋体"/>
          <w:bCs/>
          <w:color w:val="000000"/>
          <w:sz w:val="28"/>
          <w:szCs w:val="28"/>
        </w:rPr>
        <w:t>消防水泵出水管上的止回阀宜采用水锤消除止回阀，当消防水泵供水高度超过24m时，应采用水锤消除器。当消防水泵出水管上设有囊式气压水罐时，可不设水锤消除设施。</w:t>
      </w:r>
    </w:p>
    <w:p w14:paraId="429F0564">
      <w:pPr>
        <w:pageBreakBefore w:val="0"/>
        <w:kinsoku/>
        <w:wordWrap w:val="0"/>
        <w:overflowPunct w:val="0"/>
        <w:topLinePunct w:val="0"/>
        <w:bidi w:val="0"/>
        <w:snapToGrid/>
        <w:ind w:firstLine="560"/>
        <w:textAlignment w:val="auto"/>
        <w:rPr>
          <w:rFonts w:hint="eastAsia" w:ascii="宋体" w:hAnsi="宋体" w:cs="宋体"/>
          <w:bCs/>
          <w:color w:val="000000"/>
          <w:sz w:val="28"/>
          <w:szCs w:val="28"/>
        </w:rPr>
      </w:pPr>
      <w:r>
        <w:rPr>
          <w:rFonts w:hint="eastAsia" w:ascii="宋体" w:hAnsi="宋体" w:cs="宋体"/>
          <w:bCs/>
          <w:color w:val="000000"/>
          <w:sz w:val="28"/>
          <w:szCs w:val="28"/>
        </w:rPr>
        <w:t>案例：某车站项目供水高度超过24m，仅设置止回阀，未按规范要求设置水锤消除器或囊式气压水罐。</w:t>
      </w:r>
    </w:p>
    <w:p w14:paraId="70FCEBE8">
      <w:pPr>
        <w:pageBreakBefore w:val="0"/>
        <w:kinsoku/>
        <w:wordWrap w:val="0"/>
        <w:overflowPunct w:val="0"/>
        <w:topLinePunct w:val="0"/>
        <w:bidi w:val="0"/>
        <w:snapToGrid/>
        <w:ind w:firstLine="560"/>
        <w:textAlignment w:val="auto"/>
        <w:rPr>
          <w:rFonts w:hint="eastAsia" w:ascii="宋体" w:hAnsi="宋体" w:cs="宋体"/>
          <w:bCs/>
          <w:color w:val="000000"/>
          <w:sz w:val="28"/>
          <w:szCs w:val="28"/>
        </w:rPr>
      </w:pPr>
    </w:p>
    <w:p w14:paraId="44600269">
      <w:pPr>
        <w:pageBreakBefore w:val="0"/>
        <w:kinsoku/>
        <w:wordWrap w:val="0"/>
        <w:overflowPunct w:val="0"/>
        <w:topLinePunct w:val="0"/>
        <w:bidi w:val="0"/>
        <w:snapToGrid/>
        <w:ind w:firstLine="560"/>
        <w:textAlignment w:val="auto"/>
        <w:rPr>
          <w:rFonts w:hint="eastAsia" w:ascii="宋体" w:hAnsi="宋体" w:cs="宋体"/>
          <w:bCs/>
          <w:color w:val="000000"/>
          <w:sz w:val="28"/>
          <w:szCs w:val="28"/>
        </w:rPr>
      </w:pPr>
      <w:r>
        <w:rPr>
          <w:rFonts w:hint="eastAsia" w:ascii="宋体" w:hAnsi="宋体" w:cs="宋体"/>
          <w:bCs/>
          <w:color w:val="000000"/>
          <w:sz w:val="28"/>
          <w:szCs w:val="28"/>
        </w:rPr>
        <w:t>3.0.3</w:t>
      </w:r>
      <w:r>
        <w:rPr>
          <w:rFonts w:hint="eastAsia" w:ascii="宋体" w:hAnsi="宋体" w:cs="宋体"/>
          <w:bCs/>
          <w:color w:val="000000"/>
          <w:sz w:val="28"/>
          <w:szCs w:val="28"/>
          <w:lang w:val="en-US" w:eastAsia="zh-CN"/>
        </w:rPr>
        <w:t xml:space="preserve"> </w:t>
      </w:r>
      <w:r>
        <w:rPr>
          <w:rFonts w:hint="eastAsia" w:ascii="宋体" w:hAnsi="宋体" w:cs="宋体"/>
          <w:bCs/>
          <w:color w:val="000000"/>
          <w:sz w:val="28"/>
          <w:szCs w:val="28"/>
        </w:rPr>
        <w:t>消防水泵房和生产生活给水泵房合用。</w:t>
      </w:r>
    </w:p>
    <w:p w14:paraId="5D481C14">
      <w:pPr>
        <w:pageBreakBefore w:val="0"/>
        <w:kinsoku/>
        <w:wordWrap w:val="0"/>
        <w:overflowPunct w:val="0"/>
        <w:topLinePunct w:val="0"/>
        <w:bidi w:val="0"/>
        <w:snapToGrid/>
        <w:ind w:firstLine="560"/>
        <w:textAlignment w:val="auto"/>
        <w:rPr>
          <w:rFonts w:hint="eastAsia" w:ascii="宋体" w:hAnsi="宋体" w:cs="宋体"/>
          <w:bCs/>
          <w:color w:val="000000"/>
          <w:sz w:val="28"/>
          <w:szCs w:val="28"/>
        </w:rPr>
      </w:pPr>
      <w:r>
        <w:rPr>
          <w:rFonts w:hint="eastAsia" w:ascii="宋体" w:hAnsi="宋体" w:cs="宋体"/>
          <w:bCs/>
          <w:color w:val="000000"/>
          <w:sz w:val="28"/>
          <w:szCs w:val="28"/>
        </w:rPr>
        <w:t>依据：《建筑防火通用规范》（GB55037-2022）第4.1.7条，设在建筑内的消防水泵房应采用满足耐火极限的措施与其他部分分隔。</w:t>
      </w:r>
    </w:p>
    <w:p w14:paraId="6AE006AC">
      <w:pPr>
        <w:pageBreakBefore w:val="0"/>
        <w:kinsoku/>
        <w:wordWrap w:val="0"/>
        <w:overflowPunct w:val="0"/>
        <w:topLinePunct w:val="0"/>
        <w:bidi w:val="0"/>
        <w:snapToGrid/>
        <w:ind w:firstLine="420" w:firstLineChars="200"/>
        <w:textAlignment w:val="auto"/>
        <w:rPr>
          <w:rFonts w:hint="eastAsia" w:ascii="宋体" w:hAnsi="宋体" w:cs="宋体"/>
          <w:bCs/>
          <w:color w:val="000000"/>
          <w:sz w:val="28"/>
          <w:szCs w:val="28"/>
        </w:rPr>
      </w:pPr>
      <w:r>
        <w:rPr>
          <w:rFonts w:hint="eastAsia" w:ascii="宋体" w:hAnsi="宋体" w:cs="宋体"/>
        </w:rPr>
        <w:drawing>
          <wp:anchor distT="0" distB="0" distL="114300" distR="114300" simplePos="0" relativeHeight="251659264" behindDoc="0" locked="0" layoutInCell="1" allowOverlap="1">
            <wp:simplePos x="0" y="0"/>
            <wp:positionH relativeFrom="column">
              <wp:posOffset>282575</wp:posOffset>
            </wp:positionH>
            <wp:positionV relativeFrom="paragraph">
              <wp:posOffset>1014730</wp:posOffset>
            </wp:positionV>
            <wp:extent cx="5057140" cy="2191385"/>
            <wp:effectExtent l="0" t="0" r="10160" b="5715"/>
            <wp:wrapTopAndBottom/>
            <wp:docPr id="43"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 name="图片 2"/>
                    <pic:cNvPicPr>
                      <a:picLocks noChangeAspect="1"/>
                    </pic:cNvPicPr>
                  </pic:nvPicPr>
                  <pic:blipFill>
                    <a:blip r:embed="rId13"/>
                    <a:srcRect t="20337"/>
                    <a:stretch>
                      <a:fillRect/>
                    </a:stretch>
                  </pic:blipFill>
                  <pic:spPr>
                    <a:xfrm>
                      <a:off x="0" y="0"/>
                      <a:ext cx="5057140" cy="2191385"/>
                    </a:xfrm>
                    <a:prstGeom prst="rect">
                      <a:avLst/>
                    </a:prstGeom>
                    <a:noFill/>
                    <a:ln w="9525" cap="flat" cmpd="sng">
                      <a:noFill/>
                      <a:prstDash val="solid"/>
                      <a:round/>
                    </a:ln>
                  </pic:spPr>
                </pic:pic>
              </a:graphicData>
            </a:graphic>
          </wp:anchor>
        </w:drawing>
      </w:r>
      <w:r>
        <w:rPr>
          <w:rFonts w:hint="eastAsia" w:ascii="宋体" w:hAnsi="宋体" w:cs="宋体"/>
          <w:bCs/>
          <w:color w:val="000000"/>
          <w:sz w:val="28"/>
          <w:szCs w:val="28"/>
        </w:rPr>
        <w:t>案例：某车辆基地综合楼消防水泵房和生活给水泵房合用</w:t>
      </w:r>
      <w:r>
        <w:rPr>
          <w:rFonts w:hint="eastAsia" w:ascii="宋体" w:hAnsi="宋体" w:cs="宋体"/>
          <w:color w:val="000000"/>
          <w:sz w:val="28"/>
          <w:lang w:eastAsia="zh-CN"/>
        </w:rPr>
        <w:t>，不满足上述规范要求</w:t>
      </w:r>
      <w:r>
        <w:rPr>
          <w:rFonts w:hint="eastAsia" w:ascii="宋体" w:hAnsi="宋体" w:cs="宋体"/>
          <w:spacing w:val="-4"/>
          <w:sz w:val="28"/>
          <w:szCs w:val="28"/>
        </w:rPr>
        <w:t>。</w:t>
      </w:r>
    </w:p>
    <w:p w14:paraId="710777C5">
      <w:pPr>
        <w:pageBreakBefore w:val="0"/>
        <w:kinsoku/>
        <w:wordWrap w:val="0"/>
        <w:overflowPunct w:val="0"/>
        <w:topLinePunct w:val="0"/>
        <w:bidi w:val="0"/>
        <w:snapToGrid/>
        <w:ind w:firstLine="560"/>
        <w:textAlignment w:val="auto"/>
        <w:rPr>
          <w:rFonts w:hint="eastAsia" w:ascii="宋体" w:hAnsi="宋体" w:cs="宋体"/>
          <w:bCs/>
          <w:color w:val="000000"/>
          <w:sz w:val="28"/>
          <w:szCs w:val="28"/>
        </w:rPr>
      </w:pPr>
    </w:p>
    <w:p w14:paraId="26E7FA0D">
      <w:pPr>
        <w:pageBreakBefore w:val="0"/>
        <w:kinsoku/>
        <w:wordWrap w:val="0"/>
        <w:overflowPunct w:val="0"/>
        <w:topLinePunct w:val="0"/>
        <w:bidi w:val="0"/>
        <w:snapToGrid/>
        <w:ind w:firstLine="560"/>
        <w:textAlignment w:val="auto"/>
        <w:rPr>
          <w:rFonts w:hint="eastAsia" w:ascii="宋体" w:hAnsi="宋体" w:cs="宋体"/>
          <w:bCs/>
          <w:color w:val="000000"/>
          <w:sz w:val="28"/>
          <w:szCs w:val="28"/>
        </w:rPr>
      </w:pPr>
      <w:r>
        <w:rPr>
          <w:rFonts w:hint="eastAsia" w:ascii="宋体" w:hAnsi="宋体" w:cs="宋体"/>
          <w:bCs/>
          <w:color w:val="000000"/>
          <w:sz w:val="28"/>
          <w:szCs w:val="28"/>
        </w:rPr>
        <w:t>3.0.4</w:t>
      </w:r>
      <w:r>
        <w:rPr>
          <w:rFonts w:hint="eastAsia" w:ascii="宋体" w:hAnsi="宋体" w:cs="宋体"/>
          <w:bCs/>
          <w:color w:val="000000"/>
          <w:sz w:val="28"/>
          <w:szCs w:val="28"/>
          <w:lang w:val="en-US" w:eastAsia="zh-CN"/>
        </w:rPr>
        <w:t xml:space="preserve"> </w:t>
      </w:r>
      <w:r>
        <w:rPr>
          <w:rFonts w:hint="eastAsia" w:ascii="宋体" w:hAnsi="宋体" w:cs="宋体"/>
          <w:bCs/>
          <w:color w:val="000000"/>
          <w:sz w:val="28"/>
          <w:szCs w:val="28"/>
        </w:rPr>
        <w:t>消防</w:t>
      </w:r>
      <w:r>
        <w:rPr>
          <w:rFonts w:hint="eastAsia" w:ascii="宋体" w:hAnsi="宋体" w:cs="宋体"/>
          <w:bCs/>
          <w:color w:val="000000"/>
          <w:sz w:val="28"/>
          <w:szCs w:val="28"/>
          <w:lang w:val="en-US" w:eastAsia="zh-CN"/>
        </w:rPr>
        <w:t>水</w:t>
      </w:r>
      <w:r>
        <w:rPr>
          <w:rFonts w:hint="eastAsia" w:ascii="宋体" w:hAnsi="宋体" w:cs="宋体"/>
          <w:bCs/>
          <w:color w:val="000000"/>
          <w:sz w:val="28"/>
          <w:szCs w:val="28"/>
        </w:rPr>
        <w:t>泵房距离消控室过远，不满足机械应急启泵情况下，确保消防水泵在报警后5min内进入正常运行状态。</w:t>
      </w:r>
    </w:p>
    <w:p w14:paraId="75EF89E7">
      <w:pPr>
        <w:pageBreakBefore w:val="0"/>
        <w:kinsoku/>
        <w:wordWrap w:val="0"/>
        <w:overflowPunct w:val="0"/>
        <w:topLinePunct w:val="0"/>
        <w:bidi w:val="0"/>
        <w:snapToGrid/>
        <w:ind w:firstLine="562"/>
        <w:textAlignment w:val="auto"/>
        <w:rPr>
          <w:rFonts w:hint="eastAsia" w:ascii="宋体" w:hAnsi="宋体" w:cs="宋体"/>
          <w:bCs/>
          <w:color w:val="000000"/>
          <w:sz w:val="28"/>
          <w:szCs w:val="28"/>
        </w:rPr>
      </w:pPr>
      <w:r>
        <w:rPr>
          <w:rFonts w:hint="eastAsia" w:ascii="宋体" w:hAnsi="宋体" w:cs="宋体"/>
          <w:b/>
          <w:color w:val="000000"/>
          <w:sz w:val="28"/>
          <w:szCs w:val="28"/>
        </w:rPr>
        <w:t>依据：</w:t>
      </w:r>
      <w:r>
        <w:rPr>
          <w:rFonts w:hint="eastAsia" w:ascii="宋体" w:hAnsi="宋体" w:cs="宋体"/>
          <w:bCs/>
          <w:color w:val="000000"/>
          <w:sz w:val="28"/>
          <w:szCs w:val="28"/>
        </w:rPr>
        <w:t>《消防设施通用规范》（GB55036-2022）第3.0.12条，消防水泵房控制柜应具有机械应急启泵功能，且机械应急启泵时，消防水泵应能在接受火警后5min内进入正常运行状态。</w:t>
      </w:r>
    </w:p>
    <w:p w14:paraId="4463A0F0">
      <w:pPr>
        <w:pageBreakBefore w:val="0"/>
        <w:kinsoku/>
        <w:wordWrap w:val="0"/>
        <w:overflowPunct w:val="0"/>
        <w:topLinePunct w:val="0"/>
        <w:bidi w:val="0"/>
        <w:snapToGrid/>
        <w:ind w:firstLine="560"/>
        <w:textAlignment w:val="auto"/>
        <w:rPr>
          <w:rFonts w:hint="eastAsia" w:ascii="宋体" w:hAnsi="宋体" w:cs="宋体"/>
          <w:bCs/>
          <w:color w:val="000000"/>
          <w:sz w:val="28"/>
          <w:szCs w:val="28"/>
        </w:rPr>
      </w:pPr>
      <w:r>
        <w:rPr>
          <w:rFonts w:hint="eastAsia" w:ascii="宋体" w:hAnsi="宋体" w:cs="宋体"/>
          <w:bCs/>
          <w:color w:val="000000"/>
          <w:sz w:val="28"/>
          <w:szCs w:val="28"/>
        </w:rPr>
        <w:t>案例：某车辆段在综合楼负一层设置消防</w:t>
      </w:r>
      <w:r>
        <w:rPr>
          <w:rFonts w:hint="eastAsia" w:ascii="宋体" w:hAnsi="宋体" w:cs="宋体"/>
          <w:bCs/>
          <w:color w:val="000000"/>
          <w:sz w:val="28"/>
          <w:szCs w:val="28"/>
          <w:lang w:val="en-US" w:eastAsia="zh-CN"/>
        </w:rPr>
        <w:t>水</w:t>
      </w:r>
      <w:r>
        <w:rPr>
          <w:rFonts w:hint="eastAsia" w:ascii="宋体" w:hAnsi="宋体" w:cs="宋体"/>
          <w:bCs/>
          <w:color w:val="000000"/>
          <w:sz w:val="28"/>
          <w:szCs w:val="28"/>
        </w:rPr>
        <w:t>泵房，但消防控制室设置在联合检修库的DCC调度室，消防控制室与消防</w:t>
      </w:r>
      <w:r>
        <w:rPr>
          <w:rFonts w:hint="eastAsia" w:ascii="宋体" w:hAnsi="宋体" w:cs="宋体"/>
          <w:bCs/>
          <w:color w:val="000000"/>
          <w:sz w:val="28"/>
          <w:szCs w:val="28"/>
          <w:lang w:val="en-US" w:eastAsia="zh-CN"/>
        </w:rPr>
        <w:t>水</w:t>
      </w:r>
      <w:r>
        <w:rPr>
          <w:rFonts w:hint="eastAsia" w:ascii="宋体" w:hAnsi="宋体" w:cs="宋体"/>
          <w:bCs/>
          <w:color w:val="000000"/>
          <w:sz w:val="28"/>
          <w:szCs w:val="28"/>
        </w:rPr>
        <w:t>泵房行走距离约300m，且综合楼无消防分控室</w:t>
      </w:r>
      <w:r>
        <w:rPr>
          <w:rFonts w:hint="eastAsia" w:ascii="宋体" w:hAnsi="宋体" w:cs="宋体"/>
          <w:color w:val="000000"/>
          <w:sz w:val="28"/>
          <w:lang w:eastAsia="zh-CN"/>
        </w:rPr>
        <w:t>，不满足上述规范要求</w:t>
      </w:r>
      <w:r>
        <w:rPr>
          <w:rFonts w:hint="eastAsia" w:ascii="宋体" w:hAnsi="宋体" w:cs="宋体"/>
          <w:spacing w:val="-4"/>
          <w:sz w:val="28"/>
          <w:szCs w:val="28"/>
        </w:rPr>
        <w:t>。</w:t>
      </w:r>
    </w:p>
    <w:p w14:paraId="6C7B5C3A">
      <w:pPr>
        <w:pageBreakBefore w:val="0"/>
        <w:kinsoku/>
        <w:wordWrap w:val="0"/>
        <w:overflowPunct w:val="0"/>
        <w:topLinePunct w:val="0"/>
        <w:bidi w:val="0"/>
        <w:snapToGrid/>
        <w:ind w:firstLine="560"/>
        <w:textAlignment w:val="auto"/>
        <w:rPr>
          <w:rFonts w:hint="eastAsia" w:ascii="宋体" w:hAnsi="宋体" w:cs="宋体"/>
          <w:bCs/>
          <w:color w:val="000000"/>
          <w:sz w:val="28"/>
          <w:szCs w:val="28"/>
        </w:rPr>
      </w:pPr>
    </w:p>
    <w:p w14:paraId="28DC773F">
      <w:pPr>
        <w:pageBreakBefore w:val="0"/>
        <w:kinsoku/>
        <w:wordWrap w:val="0"/>
        <w:overflowPunct w:val="0"/>
        <w:topLinePunct w:val="0"/>
        <w:bidi w:val="0"/>
        <w:snapToGrid/>
        <w:ind w:firstLine="560"/>
        <w:textAlignment w:val="auto"/>
        <w:rPr>
          <w:rFonts w:hint="eastAsia" w:ascii="宋体" w:hAnsi="宋体" w:cs="宋体"/>
          <w:bCs/>
          <w:color w:val="000000"/>
          <w:sz w:val="28"/>
          <w:szCs w:val="28"/>
        </w:rPr>
      </w:pPr>
      <w:r>
        <w:rPr>
          <w:rFonts w:hint="eastAsia" w:ascii="宋体" w:hAnsi="宋体" w:cs="宋体"/>
          <w:bCs/>
          <w:color w:val="000000"/>
          <w:sz w:val="28"/>
          <w:szCs w:val="28"/>
        </w:rPr>
        <w:t xml:space="preserve">3.0.5 </w:t>
      </w:r>
      <w:r>
        <w:rPr>
          <w:rFonts w:hint="eastAsia" w:ascii="宋体" w:hAnsi="宋体" w:cs="宋体"/>
          <w:bCs/>
          <w:sz w:val="28"/>
          <w:szCs w:val="28"/>
        </w:rPr>
        <w:t>室外消防给水引入管设置倒流防止器时，未在倒流防止器前增设室外消火栓。</w:t>
      </w:r>
    </w:p>
    <w:p w14:paraId="22F98ECC">
      <w:pPr>
        <w:pageBreakBefore w:val="0"/>
        <w:kinsoku/>
        <w:wordWrap w:val="0"/>
        <w:overflowPunct w:val="0"/>
        <w:topLinePunct w:val="0"/>
        <w:bidi w:val="0"/>
        <w:snapToGrid/>
        <w:ind w:firstLine="562"/>
        <w:textAlignment w:val="auto"/>
        <w:rPr>
          <w:rFonts w:hint="eastAsia" w:ascii="宋体" w:hAnsi="宋体" w:cs="宋体"/>
          <w:bCs/>
          <w:color w:val="000000"/>
          <w:sz w:val="28"/>
          <w:szCs w:val="28"/>
        </w:rPr>
      </w:pPr>
      <w:r>
        <w:rPr>
          <w:rFonts w:hint="eastAsia" w:ascii="宋体" w:hAnsi="宋体" w:cs="宋体"/>
          <w:b/>
          <w:color w:val="000000"/>
          <w:sz w:val="28"/>
          <w:szCs w:val="28"/>
        </w:rPr>
        <w:t>依据：</w:t>
      </w:r>
      <w:r>
        <w:rPr>
          <w:rFonts w:hint="eastAsia" w:ascii="宋体" w:hAnsi="宋体" w:cs="宋体"/>
          <w:bCs/>
          <w:color w:val="000000"/>
          <w:sz w:val="28"/>
          <w:szCs w:val="28"/>
        </w:rPr>
        <w:t>《消防设施通用规范》（GB55036-2022）第3.0.4条第2</w:t>
      </w:r>
      <w:r>
        <w:rPr>
          <w:rFonts w:hint="eastAsia" w:ascii="宋体" w:hAnsi="宋体" w:cs="宋体"/>
          <w:bCs/>
          <w:color w:val="000000"/>
          <w:sz w:val="28"/>
          <w:szCs w:val="28"/>
          <w:lang w:val="en-US" w:eastAsia="zh-CN"/>
        </w:rPr>
        <w:t>款</w:t>
      </w:r>
      <w:r>
        <w:rPr>
          <w:rFonts w:hint="eastAsia" w:ascii="宋体" w:hAnsi="宋体" w:cs="宋体"/>
          <w:bCs/>
          <w:color w:val="000000"/>
          <w:sz w:val="28"/>
          <w:szCs w:val="28"/>
        </w:rPr>
        <w:t>，当室外消火栓系统的室外消防给水引入管设置倒流防止器时，应在该倒流防止器前增设1个室外消火栓。</w:t>
      </w:r>
    </w:p>
    <w:p w14:paraId="15B4F6BA">
      <w:pPr>
        <w:pageBreakBefore w:val="0"/>
        <w:kinsoku/>
        <w:wordWrap w:val="0"/>
        <w:overflowPunct w:val="0"/>
        <w:topLinePunct w:val="0"/>
        <w:bidi w:val="0"/>
        <w:snapToGrid/>
        <w:ind w:firstLine="560"/>
        <w:textAlignment w:val="auto"/>
        <w:rPr>
          <w:rFonts w:hint="eastAsia" w:ascii="宋体" w:hAnsi="宋体" w:cs="宋体"/>
          <w:bCs/>
          <w:color w:val="000000"/>
          <w:sz w:val="28"/>
          <w:szCs w:val="28"/>
        </w:rPr>
      </w:pPr>
      <w:r>
        <w:rPr>
          <w:rFonts w:hint="eastAsia" w:ascii="宋体" w:hAnsi="宋体" w:cs="宋体"/>
          <w:bCs/>
          <w:color w:val="000000"/>
          <w:sz w:val="28"/>
          <w:szCs w:val="28"/>
        </w:rPr>
        <w:t>案例：给水引入管设置倒流防止器时，倒流防止器前未设室外消火栓</w:t>
      </w:r>
      <w:r>
        <w:rPr>
          <w:rFonts w:hint="eastAsia" w:ascii="宋体" w:hAnsi="宋体" w:cs="宋体"/>
          <w:color w:val="000000"/>
          <w:sz w:val="28"/>
          <w:lang w:eastAsia="zh-CN"/>
        </w:rPr>
        <w:t>，不满足上述规范要求</w:t>
      </w:r>
      <w:r>
        <w:rPr>
          <w:rFonts w:hint="eastAsia" w:ascii="宋体" w:hAnsi="宋体" w:cs="宋体"/>
          <w:spacing w:val="-4"/>
          <w:sz w:val="28"/>
          <w:szCs w:val="28"/>
        </w:rPr>
        <w:t>。</w:t>
      </w:r>
    </w:p>
    <w:p w14:paraId="5A07F9A0">
      <w:pPr>
        <w:pageBreakBefore w:val="0"/>
        <w:kinsoku/>
        <w:wordWrap w:val="0"/>
        <w:overflowPunct w:val="0"/>
        <w:topLinePunct w:val="0"/>
        <w:bidi w:val="0"/>
        <w:snapToGrid/>
        <w:ind w:firstLine="560"/>
        <w:textAlignment w:val="auto"/>
        <w:rPr>
          <w:rFonts w:hint="eastAsia" w:ascii="宋体" w:hAnsi="宋体" w:cs="宋体"/>
          <w:bCs/>
          <w:color w:val="000000"/>
          <w:sz w:val="28"/>
          <w:szCs w:val="28"/>
        </w:rPr>
      </w:pPr>
    </w:p>
    <w:p w14:paraId="5FA14A8A">
      <w:pPr>
        <w:pageBreakBefore w:val="0"/>
        <w:kinsoku/>
        <w:wordWrap w:val="0"/>
        <w:overflowPunct w:val="0"/>
        <w:topLinePunct w:val="0"/>
        <w:bidi w:val="0"/>
        <w:snapToGrid/>
        <w:ind w:firstLine="560"/>
        <w:textAlignment w:val="auto"/>
        <w:rPr>
          <w:rFonts w:hint="eastAsia" w:ascii="宋体" w:hAnsi="宋体" w:eastAsia="宋体" w:cs="宋体"/>
          <w:bCs/>
          <w:color w:val="000000"/>
          <w:sz w:val="28"/>
          <w:szCs w:val="28"/>
          <w:lang w:eastAsia="zh-CN"/>
        </w:rPr>
      </w:pPr>
      <w:r>
        <w:rPr>
          <w:rFonts w:hint="eastAsia" w:ascii="宋体" w:hAnsi="宋体" w:cs="宋体"/>
          <w:bCs/>
          <w:color w:val="000000"/>
          <w:sz w:val="28"/>
          <w:szCs w:val="28"/>
        </w:rPr>
        <w:t xml:space="preserve">3.0.6 </w:t>
      </w:r>
      <w:r>
        <w:rPr>
          <w:rFonts w:hint="eastAsia" w:ascii="宋体" w:hAnsi="宋体" w:cs="宋体"/>
          <w:bCs/>
          <w:sz w:val="28"/>
          <w:szCs w:val="28"/>
        </w:rPr>
        <w:t>消防水池未设置就水位地显示装置</w:t>
      </w:r>
      <w:r>
        <w:rPr>
          <w:rFonts w:hint="eastAsia" w:ascii="宋体" w:hAnsi="宋体" w:cs="宋体"/>
          <w:bCs/>
          <w:sz w:val="28"/>
          <w:szCs w:val="28"/>
          <w:lang w:eastAsia="zh-CN"/>
        </w:rPr>
        <w:t>。</w:t>
      </w:r>
    </w:p>
    <w:p w14:paraId="4E853409">
      <w:pPr>
        <w:pageBreakBefore w:val="0"/>
        <w:kinsoku/>
        <w:wordWrap w:val="0"/>
        <w:overflowPunct w:val="0"/>
        <w:topLinePunct w:val="0"/>
        <w:bidi w:val="0"/>
        <w:snapToGrid/>
        <w:ind w:firstLine="562"/>
        <w:textAlignment w:val="auto"/>
        <w:rPr>
          <w:rFonts w:hint="eastAsia" w:ascii="宋体" w:hAnsi="宋体" w:cs="宋体"/>
          <w:bCs/>
          <w:color w:val="000000"/>
          <w:sz w:val="28"/>
          <w:szCs w:val="28"/>
        </w:rPr>
      </w:pPr>
      <w:r>
        <w:rPr>
          <w:rFonts w:hint="eastAsia" w:ascii="宋体" w:hAnsi="宋体" w:cs="宋体"/>
          <w:b/>
          <w:color w:val="000000"/>
          <w:sz w:val="28"/>
          <w:szCs w:val="28"/>
        </w:rPr>
        <w:t>依据：</w:t>
      </w:r>
      <w:r>
        <w:rPr>
          <w:rFonts w:hint="eastAsia" w:ascii="宋体" w:hAnsi="宋体" w:cs="宋体"/>
          <w:bCs/>
          <w:color w:val="000000"/>
          <w:sz w:val="28"/>
          <w:szCs w:val="28"/>
        </w:rPr>
        <w:t>《消防给水及消火栓系统技术规范》（GB50974-2014）第4.3.9条第2款</w:t>
      </w:r>
      <w:r>
        <w:rPr>
          <w:rFonts w:hint="eastAsia" w:ascii="宋体" w:hAnsi="宋体" w:cs="宋体"/>
          <w:bCs/>
          <w:color w:val="000000"/>
          <w:sz w:val="28"/>
          <w:szCs w:val="28"/>
          <w:lang w:eastAsia="zh-CN"/>
        </w:rPr>
        <w:t>，</w:t>
      </w:r>
      <w:r>
        <w:rPr>
          <w:rFonts w:hint="eastAsia" w:ascii="宋体" w:hAnsi="宋体" w:cs="宋体"/>
          <w:bCs/>
          <w:color w:val="000000"/>
          <w:sz w:val="28"/>
          <w:szCs w:val="28"/>
        </w:rPr>
        <w:t>消防水池应设置就地水位显示装置。</w:t>
      </w:r>
    </w:p>
    <w:p w14:paraId="7146116D">
      <w:pPr>
        <w:pageBreakBefore w:val="0"/>
        <w:kinsoku/>
        <w:wordWrap w:val="0"/>
        <w:overflowPunct w:val="0"/>
        <w:topLinePunct w:val="0"/>
        <w:bidi w:val="0"/>
        <w:snapToGrid/>
        <w:ind w:firstLine="560"/>
        <w:textAlignment w:val="auto"/>
        <w:rPr>
          <w:rFonts w:hint="eastAsia" w:ascii="宋体" w:hAnsi="宋体" w:cs="宋体"/>
          <w:bCs/>
          <w:color w:val="000000"/>
          <w:sz w:val="28"/>
          <w:szCs w:val="28"/>
        </w:rPr>
      </w:pPr>
      <w:r>
        <w:rPr>
          <w:rFonts w:hint="eastAsia" w:ascii="宋体" w:hAnsi="宋体" w:cs="宋体"/>
          <w:bCs/>
          <w:color w:val="000000"/>
          <w:sz w:val="28"/>
          <w:szCs w:val="28"/>
        </w:rPr>
        <w:t>案例：某车站消防水池室外浅埋，未设置就地显示装置</w:t>
      </w:r>
      <w:r>
        <w:rPr>
          <w:rFonts w:hint="eastAsia" w:ascii="宋体" w:hAnsi="宋体" w:cs="宋体"/>
          <w:color w:val="000000"/>
          <w:sz w:val="28"/>
          <w:lang w:eastAsia="zh-CN"/>
        </w:rPr>
        <w:t>，不满足上述规范要求</w:t>
      </w:r>
      <w:r>
        <w:rPr>
          <w:rFonts w:hint="eastAsia" w:ascii="宋体" w:hAnsi="宋体" w:cs="宋体"/>
          <w:spacing w:val="-4"/>
          <w:sz w:val="28"/>
          <w:szCs w:val="28"/>
        </w:rPr>
        <w:t>。</w:t>
      </w:r>
    </w:p>
    <w:p w14:paraId="1AC0140C">
      <w:pPr>
        <w:pageBreakBefore w:val="0"/>
        <w:kinsoku/>
        <w:wordWrap w:val="0"/>
        <w:overflowPunct w:val="0"/>
        <w:topLinePunct w:val="0"/>
        <w:bidi w:val="0"/>
        <w:snapToGrid/>
        <w:ind w:firstLine="560"/>
        <w:textAlignment w:val="auto"/>
        <w:rPr>
          <w:rFonts w:hint="eastAsia" w:ascii="宋体" w:hAnsi="宋体" w:cs="宋体"/>
          <w:bCs/>
          <w:color w:val="000000"/>
          <w:sz w:val="28"/>
          <w:szCs w:val="28"/>
        </w:rPr>
      </w:pPr>
    </w:p>
    <w:p w14:paraId="537F0B2C">
      <w:pPr>
        <w:pageBreakBefore w:val="0"/>
        <w:kinsoku/>
        <w:wordWrap w:val="0"/>
        <w:overflowPunct w:val="0"/>
        <w:topLinePunct w:val="0"/>
        <w:bidi w:val="0"/>
        <w:snapToGrid/>
        <w:ind w:firstLine="560"/>
        <w:textAlignment w:val="auto"/>
        <w:rPr>
          <w:rFonts w:hint="eastAsia" w:ascii="宋体" w:hAnsi="宋体" w:cs="宋体"/>
          <w:bCs/>
          <w:color w:val="000000"/>
          <w:sz w:val="28"/>
          <w:szCs w:val="28"/>
        </w:rPr>
      </w:pPr>
      <w:r>
        <w:rPr>
          <w:rFonts w:hint="eastAsia" w:ascii="宋体" w:hAnsi="宋体" w:cs="宋体"/>
          <w:bCs/>
          <w:color w:val="000000"/>
          <w:sz w:val="28"/>
          <w:szCs w:val="28"/>
        </w:rPr>
        <w:t>3.0.7</w:t>
      </w:r>
      <w:r>
        <w:rPr>
          <w:rFonts w:hint="eastAsia" w:ascii="宋体" w:hAnsi="宋体" w:cs="宋体"/>
          <w:bCs/>
          <w:color w:val="000000"/>
          <w:sz w:val="28"/>
          <w:szCs w:val="28"/>
          <w:lang w:val="en-US" w:eastAsia="zh-CN"/>
        </w:rPr>
        <w:t xml:space="preserve"> </w:t>
      </w:r>
      <w:r>
        <w:rPr>
          <w:rFonts w:hint="eastAsia" w:ascii="宋体" w:hAnsi="宋体" w:cs="宋体"/>
          <w:bCs/>
          <w:color w:val="000000"/>
          <w:sz w:val="28"/>
          <w:szCs w:val="28"/>
        </w:rPr>
        <w:t>消防水泵吸水管压力表选型及其关断阀门安装不满足要求。</w:t>
      </w:r>
    </w:p>
    <w:p w14:paraId="63A80AE9">
      <w:pPr>
        <w:pageBreakBefore w:val="0"/>
        <w:kinsoku/>
        <w:wordWrap w:val="0"/>
        <w:overflowPunct w:val="0"/>
        <w:topLinePunct w:val="0"/>
        <w:bidi w:val="0"/>
        <w:snapToGrid/>
        <w:ind w:firstLine="562"/>
        <w:textAlignment w:val="auto"/>
        <w:rPr>
          <w:rFonts w:hint="eastAsia" w:ascii="宋体" w:hAnsi="宋体" w:cs="宋体"/>
          <w:bCs/>
          <w:color w:val="000000"/>
          <w:sz w:val="28"/>
          <w:szCs w:val="28"/>
        </w:rPr>
      </w:pPr>
      <w:r>
        <w:rPr>
          <w:rFonts w:hint="eastAsia" w:ascii="宋体" w:hAnsi="宋体" w:cs="宋体"/>
          <w:b/>
          <w:color w:val="000000"/>
          <w:sz w:val="28"/>
          <w:szCs w:val="28"/>
        </w:rPr>
        <w:t>依据：</w:t>
      </w:r>
      <w:r>
        <w:rPr>
          <w:rFonts w:hint="eastAsia" w:ascii="宋体" w:hAnsi="宋体" w:cs="宋体"/>
          <w:bCs/>
          <w:color w:val="000000"/>
          <w:sz w:val="28"/>
          <w:szCs w:val="28"/>
        </w:rPr>
        <w:t>《消防给水及消火栓系统技术规范》（GB50974-2014）第5.1.17条第2款，消防水泵吸水管宜设置真空表、压力表或真空压力表，压力表的最大量程应根据工程具体情况确定，但不应低于0.70MPa，真空表的最大量程宜为</w:t>
      </w:r>
      <w:r>
        <w:rPr>
          <w:rFonts w:hint="eastAsia" w:ascii="宋体" w:hAnsi="宋体" w:cs="宋体"/>
          <w:bCs/>
          <w:color w:val="000000"/>
          <w:sz w:val="28"/>
          <w:szCs w:val="28"/>
          <w:lang w:val="en-US" w:eastAsia="zh-CN"/>
        </w:rPr>
        <w:t>-</w:t>
      </w:r>
      <w:r>
        <w:rPr>
          <w:rFonts w:hint="eastAsia" w:ascii="宋体" w:hAnsi="宋体" w:cs="宋体"/>
          <w:bCs/>
          <w:color w:val="000000"/>
          <w:sz w:val="28"/>
          <w:szCs w:val="28"/>
        </w:rPr>
        <w:t>0.10MPa。第3款，压力表的直径不应小于100mm，应采用直径不小于6mm的管道与消防水泵进出口管相接，并应设置关断阀门。</w:t>
      </w:r>
    </w:p>
    <w:p w14:paraId="0FBC75F6">
      <w:pPr>
        <w:pageBreakBefore w:val="0"/>
        <w:kinsoku/>
        <w:wordWrap w:val="0"/>
        <w:overflowPunct w:val="0"/>
        <w:topLinePunct w:val="0"/>
        <w:bidi w:val="0"/>
        <w:snapToGrid/>
        <w:ind w:firstLine="560"/>
        <w:textAlignment w:val="auto"/>
        <w:rPr>
          <w:rFonts w:hint="eastAsia" w:ascii="宋体" w:hAnsi="宋体" w:cs="宋体"/>
          <w:bCs/>
          <w:color w:val="000000"/>
          <w:sz w:val="28"/>
          <w:szCs w:val="28"/>
        </w:rPr>
      </w:pPr>
      <w:r>
        <w:rPr>
          <w:rFonts w:hint="eastAsia" w:ascii="宋体" w:hAnsi="宋体" w:cs="宋体"/>
          <w:bCs/>
          <w:color w:val="000000"/>
          <w:sz w:val="28"/>
          <w:szCs w:val="28"/>
        </w:rPr>
        <w:t>案例：某车站消防水泵房内消防水泵吸水管上设置了真空压力表，但是选择的量程有错误，另外接压力表的短管上未设置关断阀门。压力表损坏后检修困难。</w:t>
      </w:r>
    </w:p>
    <w:p w14:paraId="36FFEFD1">
      <w:pPr>
        <w:pageBreakBefore w:val="0"/>
        <w:kinsoku/>
        <w:wordWrap w:val="0"/>
        <w:overflowPunct w:val="0"/>
        <w:topLinePunct w:val="0"/>
        <w:bidi w:val="0"/>
        <w:snapToGrid/>
        <w:ind w:firstLine="560"/>
        <w:textAlignment w:val="auto"/>
        <w:rPr>
          <w:rFonts w:hint="eastAsia" w:ascii="宋体" w:hAnsi="宋体" w:cs="宋体"/>
          <w:bCs/>
          <w:color w:val="000000"/>
          <w:sz w:val="28"/>
          <w:szCs w:val="28"/>
        </w:rPr>
      </w:pPr>
    </w:p>
    <w:p w14:paraId="7D958EDA">
      <w:pPr>
        <w:pageBreakBefore w:val="0"/>
        <w:kinsoku/>
        <w:wordWrap w:val="0"/>
        <w:overflowPunct w:val="0"/>
        <w:topLinePunct w:val="0"/>
        <w:bidi w:val="0"/>
        <w:snapToGrid/>
        <w:ind w:firstLine="560"/>
        <w:textAlignment w:val="auto"/>
        <w:rPr>
          <w:rFonts w:hint="eastAsia" w:ascii="宋体" w:hAnsi="宋体" w:cs="宋体"/>
          <w:bCs/>
          <w:color w:val="000000"/>
          <w:sz w:val="28"/>
          <w:szCs w:val="28"/>
        </w:rPr>
      </w:pPr>
      <w:r>
        <w:rPr>
          <w:rFonts w:hint="eastAsia" w:ascii="宋体" w:hAnsi="宋体" w:cs="宋体"/>
          <w:bCs/>
          <w:color w:val="000000"/>
          <w:sz w:val="28"/>
          <w:szCs w:val="28"/>
        </w:rPr>
        <w:t>3.0.8</w:t>
      </w:r>
      <w:r>
        <w:rPr>
          <w:rFonts w:hint="eastAsia" w:ascii="宋体" w:hAnsi="宋体" w:cs="宋体"/>
          <w:bCs/>
          <w:color w:val="000000"/>
          <w:sz w:val="28"/>
          <w:szCs w:val="28"/>
          <w:lang w:val="en-US" w:eastAsia="zh-CN"/>
        </w:rPr>
        <w:t xml:space="preserve"> </w:t>
      </w:r>
      <w:r>
        <w:rPr>
          <w:rFonts w:hint="eastAsia" w:ascii="宋体" w:hAnsi="宋体" w:cs="宋体"/>
          <w:bCs/>
          <w:color w:val="000000"/>
          <w:sz w:val="28"/>
          <w:szCs w:val="28"/>
        </w:rPr>
        <w:t>储存室外消防用水量的消防水池未设置取水口，或取水口设置的大小及位置，不满足规范要求。</w:t>
      </w:r>
    </w:p>
    <w:p w14:paraId="33177893">
      <w:pPr>
        <w:pageBreakBefore w:val="0"/>
        <w:kinsoku/>
        <w:wordWrap w:val="0"/>
        <w:overflowPunct w:val="0"/>
        <w:topLinePunct w:val="0"/>
        <w:bidi w:val="0"/>
        <w:snapToGrid/>
        <w:ind w:firstLine="560"/>
        <w:textAlignment w:val="auto"/>
        <w:rPr>
          <w:rFonts w:hint="eastAsia" w:ascii="宋体" w:hAnsi="宋体" w:cs="宋体"/>
          <w:bCs/>
          <w:color w:val="000000"/>
          <w:sz w:val="28"/>
          <w:szCs w:val="28"/>
        </w:rPr>
      </w:pPr>
      <w:r>
        <w:rPr>
          <w:rFonts w:hint="eastAsia" w:ascii="宋体" w:hAnsi="宋体" w:cs="宋体"/>
          <w:b/>
          <w:color w:val="000000"/>
          <w:sz w:val="28"/>
          <w:szCs w:val="28"/>
        </w:rPr>
        <w:t>依据：</w:t>
      </w:r>
      <w:r>
        <w:rPr>
          <w:rFonts w:hint="eastAsia" w:ascii="宋体" w:hAnsi="宋体" w:cs="宋体"/>
          <w:bCs/>
          <w:color w:val="000000"/>
          <w:sz w:val="28"/>
          <w:szCs w:val="28"/>
        </w:rPr>
        <w:t>《消防给水及消火栓系统技术规范》（GB50974-2014）第4.3.7条第1款，消防水池应设置取水口（井），且吸水高度不应大于6.0m；《建筑设计防火规范》（GB50016-2014（2018年版））第7.1.7条，供消防车取水的天然水源和消防水池应设置消防车道。消防车道的边缘距离取水点不宜大于2m。</w:t>
      </w:r>
    </w:p>
    <w:p w14:paraId="07F44AAA">
      <w:pPr>
        <w:pageBreakBefore w:val="0"/>
        <w:kinsoku/>
        <w:wordWrap w:val="0"/>
        <w:overflowPunct w:val="0"/>
        <w:topLinePunct w:val="0"/>
        <w:bidi w:val="0"/>
        <w:snapToGrid/>
        <w:ind w:firstLine="560"/>
        <w:textAlignment w:val="auto"/>
        <w:rPr>
          <w:rFonts w:hint="eastAsia" w:ascii="宋体" w:hAnsi="宋体" w:cs="宋体"/>
          <w:bCs/>
          <w:color w:val="000000"/>
          <w:sz w:val="28"/>
          <w:szCs w:val="28"/>
        </w:rPr>
      </w:pPr>
      <w:r>
        <w:rPr>
          <w:rFonts w:hint="eastAsia" w:ascii="宋体" w:hAnsi="宋体" w:cs="宋体"/>
          <w:bCs/>
          <w:color w:val="000000"/>
          <w:sz w:val="28"/>
          <w:szCs w:val="28"/>
        </w:rPr>
        <w:t>案例：重庆地势坡度大，某地下车站消防水池埋深不均匀，取水口取水高度大于6米；某车站消防水池顶板设检修人孔兼取水口，取水口距离消防车道的距离为3.5m。</w:t>
      </w:r>
    </w:p>
    <w:p w14:paraId="3F937070">
      <w:pPr>
        <w:pageBreakBefore w:val="0"/>
        <w:kinsoku/>
        <w:wordWrap w:val="0"/>
        <w:overflowPunct w:val="0"/>
        <w:topLinePunct w:val="0"/>
        <w:bidi w:val="0"/>
        <w:snapToGrid/>
        <w:ind w:firstLine="560"/>
        <w:textAlignment w:val="auto"/>
      </w:pPr>
      <w:r>
        <w:drawing>
          <wp:inline distT="0" distB="0" distL="0" distR="0">
            <wp:extent cx="5029200" cy="2006600"/>
            <wp:effectExtent l="0" t="0" r="0" b="0"/>
            <wp:docPr id="1" name="图片 1" descr="图示&#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descr="图示&#10;&#10;描述已自动生成"/>
                    <pic:cNvPicPr>
                      <a:picLocks noChangeAspect="1"/>
                    </pic:cNvPicPr>
                  </pic:nvPicPr>
                  <pic:blipFill>
                    <a:blip r:embed="rId14"/>
                    <a:stretch>
                      <a:fillRect/>
                    </a:stretch>
                  </pic:blipFill>
                  <pic:spPr>
                    <a:xfrm>
                      <a:off x="0" y="0"/>
                      <a:ext cx="5037423" cy="2010163"/>
                    </a:xfrm>
                    <a:prstGeom prst="rect">
                      <a:avLst/>
                    </a:prstGeom>
                  </pic:spPr>
                </pic:pic>
              </a:graphicData>
            </a:graphic>
          </wp:inline>
        </w:drawing>
      </w:r>
    </w:p>
    <w:p w14:paraId="77EF71D4">
      <w:pPr>
        <w:pageBreakBefore w:val="0"/>
        <w:kinsoku/>
        <w:wordWrap w:val="0"/>
        <w:overflowPunct w:val="0"/>
        <w:topLinePunct w:val="0"/>
        <w:bidi w:val="0"/>
        <w:snapToGrid/>
        <w:ind w:firstLine="560"/>
        <w:textAlignment w:val="auto"/>
        <w:rPr>
          <w:rFonts w:hint="eastAsia"/>
        </w:rPr>
      </w:pPr>
    </w:p>
    <w:p w14:paraId="43781F22">
      <w:pPr>
        <w:pageBreakBefore w:val="0"/>
        <w:kinsoku/>
        <w:wordWrap w:val="0"/>
        <w:overflowPunct w:val="0"/>
        <w:topLinePunct w:val="0"/>
        <w:bidi w:val="0"/>
        <w:snapToGrid/>
        <w:ind w:firstLine="560"/>
        <w:textAlignment w:val="auto"/>
        <w:rPr>
          <w:rFonts w:hint="eastAsia" w:ascii="宋体" w:hAnsi="宋体" w:cs="宋体"/>
          <w:bCs/>
          <w:color w:val="000000"/>
          <w:sz w:val="28"/>
          <w:szCs w:val="28"/>
        </w:rPr>
      </w:pPr>
      <w:r>
        <w:rPr>
          <w:rFonts w:hint="eastAsia" w:ascii="宋体" w:hAnsi="宋体" w:cs="宋体"/>
          <w:bCs/>
          <w:color w:val="000000"/>
          <w:sz w:val="28"/>
          <w:szCs w:val="28"/>
        </w:rPr>
        <w:t>3.0.9 消防给水系统减压阀组设置在双向流动的输水干管上，位置有误；且未设置备用减压阀、Y型过滤器、压力表、安全阀等相关阀件。</w:t>
      </w:r>
    </w:p>
    <w:p w14:paraId="36932FE6">
      <w:pPr>
        <w:pageBreakBefore w:val="0"/>
        <w:kinsoku/>
        <w:wordWrap w:val="0"/>
        <w:overflowPunct w:val="0"/>
        <w:topLinePunct w:val="0"/>
        <w:bidi w:val="0"/>
        <w:snapToGrid/>
        <w:ind w:firstLine="560"/>
        <w:textAlignment w:val="auto"/>
        <w:rPr>
          <w:rFonts w:hint="eastAsia" w:ascii="宋体" w:hAnsi="宋体" w:cs="宋体"/>
          <w:bCs/>
          <w:color w:val="000000"/>
          <w:sz w:val="28"/>
          <w:szCs w:val="28"/>
        </w:rPr>
      </w:pPr>
      <w:r>
        <w:rPr>
          <w:rFonts w:hint="eastAsia" w:ascii="宋体" w:hAnsi="宋体" w:cs="宋体"/>
          <w:b/>
          <w:color w:val="000000"/>
          <w:sz w:val="28"/>
          <w:szCs w:val="28"/>
        </w:rPr>
        <w:t>依据：</w:t>
      </w:r>
      <w:r>
        <w:rPr>
          <w:rFonts w:hint="eastAsia" w:ascii="宋体" w:hAnsi="宋体" w:cs="宋体"/>
          <w:bCs/>
          <w:color w:val="000000"/>
          <w:sz w:val="28"/>
          <w:szCs w:val="28"/>
        </w:rPr>
        <w:t>《消防给水及消火栓系统技术规范》（GB50974-2014）第6.2.4条第3款，每一个供水分区应设不少于两组减压阀组，每组减压阀组宜设置备用减压阀；《消防给水及消火栓系统技术规范》（GB50974-2014）第6.2.4条第4款，减压阀仅应设置在单向流动的供水管上；不应设置在有双向流动的输水干管上；《消防给水及消火栓系统技术规范》（GB50974-2014）第6.2.4条第7款，减压阀后应设置安全阀，安全阀的开启压力应能满足系统安全，且不影响系统的供水安全性。</w:t>
      </w:r>
    </w:p>
    <w:p w14:paraId="3DCB5C4C">
      <w:pPr>
        <w:pageBreakBefore w:val="0"/>
        <w:kinsoku/>
        <w:wordWrap w:val="0"/>
        <w:overflowPunct w:val="0"/>
        <w:topLinePunct w:val="0"/>
        <w:bidi w:val="0"/>
        <w:snapToGrid/>
        <w:ind w:firstLine="560"/>
        <w:textAlignment w:val="auto"/>
        <w:rPr>
          <w:rFonts w:hint="eastAsia" w:ascii="宋体" w:hAnsi="宋体" w:cs="宋体"/>
          <w:bCs/>
          <w:color w:val="000000"/>
          <w:sz w:val="28"/>
          <w:szCs w:val="28"/>
        </w:rPr>
      </w:pPr>
      <w:r>
        <w:rPr>
          <w:rFonts w:hint="eastAsia" w:ascii="宋体" w:hAnsi="宋体" w:cs="宋体"/>
          <w:bCs/>
          <w:color w:val="000000"/>
          <w:sz w:val="28"/>
          <w:szCs w:val="28"/>
        </w:rPr>
        <w:t>案例：某车站消防给水系统减压阀组直接设置在环状管网上。</w:t>
      </w:r>
    </w:p>
    <w:p w14:paraId="41C1FB4E">
      <w:pPr>
        <w:pageBreakBefore w:val="0"/>
        <w:kinsoku/>
        <w:wordWrap w:val="0"/>
        <w:overflowPunct w:val="0"/>
        <w:topLinePunct w:val="0"/>
        <w:bidi w:val="0"/>
        <w:snapToGrid/>
        <w:ind w:firstLine="560"/>
        <w:textAlignment w:val="auto"/>
        <w:rPr>
          <w:rFonts w:hint="eastAsia" w:ascii="宋体" w:hAnsi="宋体" w:cs="宋体"/>
          <w:bCs/>
          <w:color w:val="000000"/>
          <w:sz w:val="28"/>
          <w:szCs w:val="28"/>
        </w:rPr>
      </w:pPr>
    </w:p>
    <w:p w14:paraId="6704FFAC">
      <w:pPr>
        <w:pageBreakBefore w:val="0"/>
        <w:kinsoku/>
        <w:wordWrap w:val="0"/>
        <w:overflowPunct w:val="0"/>
        <w:topLinePunct w:val="0"/>
        <w:bidi w:val="0"/>
        <w:snapToGrid/>
        <w:ind w:firstLine="560"/>
        <w:textAlignment w:val="auto"/>
        <w:rPr>
          <w:rFonts w:hint="eastAsia" w:ascii="宋体" w:hAnsi="宋体" w:cs="宋体"/>
          <w:bCs/>
          <w:color w:val="000000"/>
          <w:sz w:val="28"/>
          <w:szCs w:val="28"/>
        </w:rPr>
      </w:pPr>
      <w:r>
        <w:rPr>
          <w:rFonts w:hint="eastAsia" w:ascii="宋体" w:hAnsi="宋体" w:cs="宋体"/>
          <w:bCs/>
          <w:color w:val="000000"/>
          <w:sz w:val="28"/>
          <w:szCs w:val="28"/>
        </w:rPr>
        <w:t>3.0.10 消防电梯排水流量、集水井有效容积偏小。</w:t>
      </w:r>
    </w:p>
    <w:p w14:paraId="6A8A701B">
      <w:pPr>
        <w:pageBreakBefore w:val="0"/>
        <w:kinsoku/>
        <w:wordWrap w:val="0"/>
        <w:overflowPunct w:val="0"/>
        <w:topLinePunct w:val="0"/>
        <w:bidi w:val="0"/>
        <w:snapToGrid/>
        <w:ind w:firstLine="560"/>
        <w:textAlignment w:val="auto"/>
        <w:rPr>
          <w:rFonts w:hint="eastAsia" w:ascii="宋体" w:hAnsi="宋体" w:cs="宋体"/>
          <w:bCs/>
          <w:color w:val="000000"/>
          <w:sz w:val="28"/>
          <w:szCs w:val="28"/>
        </w:rPr>
      </w:pPr>
      <w:r>
        <w:rPr>
          <w:rFonts w:hint="eastAsia" w:ascii="宋体" w:hAnsi="宋体" w:cs="宋体"/>
          <w:bCs/>
          <w:color w:val="000000"/>
          <w:sz w:val="28"/>
          <w:szCs w:val="28"/>
        </w:rPr>
        <w:t>依据：《消防给水及消火栓系统技术规范》（GB50974-2014）第9.2.3条第1款，排水泵集水井的有效容量不应小于2.00m³；排水泵的排水量不应小于10L/s。</w:t>
      </w:r>
    </w:p>
    <w:p w14:paraId="32ECAC28">
      <w:pPr>
        <w:pageBreakBefore w:val="0"/>
        <w:kinsoku/>
        <w:wordWrap w:val="0"/>
        <w:overflowPunct w:val="0"/>
        <w:topLinePunct w:val="0"/>
        <w:bidi w:val="0"/>
        <w:snapToGrid/>
        <w:ind w:firstLine="560"/>
        <w:textAlignment w:val="auto"/>
        <w:rPr>
          <w:rFonts w:hint="eastAsia" w:ascii="宋体" w:hAnsi="宋体" w:cs="宋体"/>
          <w:bCs/>
          <w:color w:val="000000"/>
          <w:sz w:val="28"/>
          <w:szCs w:val="28"/>
        </w:rPr>
      </w:pPr>
      <w:r>
        <w:rPr>
          <w:rFonts w:hint="eastAsia" w:ascii="宋体" w:hAnsi="宋体" w:cs="宋体"/>
          <w:bCs/>
          <w:color w:val="000000"/>
          <w:sz w:val="28"/>
          <w:szCs w:val="28"/>
        </w:rPr>
        <w:t>案例：某车站消防电梯排水泵集水井的有效容量小于2.00m³，排水流量20m³/h。</w:t>
      </w:r>
    </w:p>
    <w:p w14:paraId="0B9A0E64">
      <w:pPr>
        <w:pageBreakBefore w:val="0"/>
        <w:kinsoku/>
        <w:wordWrap w:val="0"/>
        <w:overflowPunct w:val="0"/>
        <w:topLinePunct w:val="0"/>
        <w:bidi w:val="0"/>
        <w:snapToGrid/>
        <w:ind w:firstLine="560"/>
        <w:textAlignment w:val="auto"/>
        <w:rPr>
          <w:rFonts w:hint="eastAsia" w:ascii="宋体" w:hAnsi="宋体" w:cs="宋体"/>
          <w:bCs/>
          <w:color w:val="000000"/>
          <w:sz w:val="28"/>
          <w:szCs w:val="28"/>
        </w:rPr>
      </w:pPr>
    </w:p>
    <w:p w14:paraId="64C15534">
      <w:pPr>
        <w:pageBreakBefore w:val="0"/>
        <w:kinsoku/>
        <w:wordWrap w:val="0"/>
        <w:overflowPunct w:val="0"/>
        <w:topLinePunct w:val="0"/>
        <w:bidi w:val="0"/>
        <w:snapToGrid/>
        <w:ind w:firstLine="560"/>
        <w:textAlignment w:val="auto"/>
        <w:rPr>
          <w:rFonts w:hint="eastAsia" w:ascii="宋体" w:hAnsi="宋体" w:cs="宋体"/>
          <w:bCs/>
          <w:color w:val="000000"/>
          <w:sz w:val="28"/>
          <w:szCs w:val="28"/>
        </w:rPr>
      </w:pPr>
      <w:r>
        <w:rPr>
          <w:rFonts w:hint="eastAsia" w:ascii="宋体" w:hAnsi="宋体" w:cs="宋体"/>
          <w:bCs/>
          <w:color w:val="000000"/>
          <w:sz w:val="28"/>
          <w:szCs w:val="28"/>
        </w:rPr>
        <w:t>3.0.11</w:t>
      </w:r>
      <w:r>
        <w:rPr>
          <w:rFonts w:hint="eastAsia" w:ascii="宋体" w:hAnsi="宋体" w:cs="宋体"/>
          <w:bCs/>
          <w:color w:val="000000"/>
          <w:sz w:val="28"/>
          <w:szCs w:val="28"/>
          <w:lang w:val="en-US" w:eastAsia="zh-CN"/>
        </w:rPr>
        <w:t xml:space="preserve"> </w:t>
      </w:r>
      <w:r>
        <w:rPr>
          <w:rFonts w:hint="eastAsia" w:ascii="宋体" w:hAnsi="宋体" w:cs="宋体"/>
          <w:bCs/>
          <w:color w:val="000000"/>
          <w:sz w:val="28"/>
          <w:szCs w:val="28"/>
        </w:rPr>
        <w:t>消防给水系统试验装置专用排水设施管径偏小。</w:t>
      </w:r>
    </w:p>
    <w:p w14:paraId="71DCCC24">
      <w:pPr>
        <w:pageBreakBefore w:val="0"/>
        <w:kinsoku/>
        <w:wordWrap w:val="0"/>
        <w:overflowPunct w:val="0"/>
        <w:topLinePunct w:val="0"/>
        <w:bidi w:val="0"/>
        <w:snapToGrid/>
        <w:ind w:firstLine="560"/>
        <w:textAlignment w:val="auto"/>
        <w:rPr>
          <w:rFonts w:hint="eastAsia" w:ascii="宋体" w:hAnsi="宋体" w:cs="宋体"/>
          <w:bCs/>
          <w:color w:val="000000"/>
          <w:sz w:val="28"/>
          <w:szCs w:val="28"/>
        </w:rPr>
      </w:pPr>
      <w:r>
        <w:rPr>
          <w:rFonts w:hint="eastAsia" w:ascii="宋体" w:hAnsi="宋体" w:cs="宋体"/>
          <w:b/>
          <w:color w:val="000000"/>
          <w:sz w:val="28"/>
          <w:szCs w:val="28"/>
        </w:rPr>
        <w:t>依据：</w:t>
      </w:r>
      <w:r>
        <w:rPr>
          <w:rFonts w:hint="eastAsia" w:ascii="宋体" w:hAnsi="宋体" w:cs="宋体"/>
          <w:bCs/>
          <w:color w:val="000000"/>
          <w:sz w:val="28"/>
          <w:szCs w:val="28"/>
        </w:rPr>
        <w:t>《自动喷水灭火系统设计规范》（GB50087-2017</w:t>
      </w:r>
      <w:r>
        <w:rPr>
          <w:rFonts w:hint="eastAsia" w:ascii="宋体" w:hAnsi="宋体" w:cs="宋体"/>
          <w:bCs/>
          <w:color w:val="000000"/>
          <w:sz w:val="28"/>
          <w:szCs w:val="28"/>
          <w:lang w:eastAsia="zh-CN"/>
        </w:rPr>
        <w:t>）</w:t>
      </w:r>
      <w:r>
        <w:rPr>
          <w:rFonts w:hint="eastAsia" w:ascii="宋体" w:hAnsi="宋体" w:cs="宋体"/>
          <w:bCs/>
          <w:color w:val="000000"/>
          <w:sz w:val="28"/>
          <w:szCs w:val="28"/>
        </w:rPr>
        <w:t>第6.5.2条</w:t>
      </w:r>
      <w:r>
        <w:rPr>
          <w:rFonts w:hint="eastAsia" w:ascii="宋体" w:hAnsi="宋体" w:cs="宋体"/>
          <w:bCs/>
          <w:color w:val="000000"/>
          <w:sz w:val="28"/>
          <w:szCs w:val="28"/>
          <w:lang w:eastAsia="zh-CN"/>
        </w:rPr>
        <w:t>，</w:t>
      </w:r>
      <w:r>
        <w:rPr>
          <w:rFonts w:hint="eastAsia" w:ascii="宋体" w:hAnsi="宋体" w:cs="宋体"/>
          <w:bCs/>
          <w:color w:val="000000"/>
          <w:sz w:val="28"/>
          <w:szCs w:val="28"/>
        </w:rPr>
        <w:t>末端试水装置的出水，应采用孔口出流的方式排入排水管道，排水立管宜设伸顶通气管，且管径不应小于75mm；《消防给水及消火栓系统技术规范》（GB50974-2014</w:t>
      </w:r>
      <w:r>
        <w:rPr>
          <w:rFonts w:hint="eastAsia" w:ascii="宋体" w:hAnsi="宋体" w:cs="宋体"/>
          <w:bCs/>
          <w:color w:val="000000"/>
          <w:sz w:val="28"/>
          <w:szCs w:val="28"/>
          <w:lang w:eastAsia="zh-CN"/>
        </w:rPr>
        <w:t>）</w:t>
      </w:r>
      <w:r>
        <w:rPr>
          <w:rFonts w:hint="eastAsia" w:ascii="宋体" w:hAnsi="宋体" w:cs="宋体"/>
          <w:bCs/>
          <w:color w:val="000000"/>
          <w:sz w:val="28"/>
          <w:szCs w:val="28"/>
        </w:rPr>
        <w:t>第9.3.1条第3款，减压阀处的压力试验排水管道直径应根据减压阀流量确定，但不应小于DN100。</w:t>
      </w:r>
    </w:p>
    <w:p w14:paraId="09C44F48">
      <w:pPr>
        <w:pageBreakBefore w:val="0"/>
        <w:kinsoku/>
        <w:wordWrap w:val="0"/>
        <w:overflowPunct w:val="0"/>
        <w:topLinePunct w:val="0"/>
        <w:bidi w:val="0"/>
        <w:snapToGrid/>
        <w:ind w:firstLine="560"/>
        <w:textAlignment w:val="auto"/>
        <w:rPr>
          <w:rFonts w:hint="eastAsia" w:ascii="宋体" w:hAnsi="宋体" w:cs="宋体"/>
          <w:bCs/>
          <w:color w:val="000000"/>
          <w:sz w:val="28"/>
          <w:szCs w:val="28"/>
        </w:rPr>
      </w:pPr>
      <w:r>
        <w:rPr>
          <w:rFonts w:hint="eastAsia" w:ascii="宋体" w:hAnsi="宋体" w:cs="宋体"/>
          <w:bCs/>
          <w:color w:val="000000"/>
          <w:sz w:val="28"/>
          <w:szCs w:val="28"/>
        </w:rPr>
        <w:t>案例：某车站喷淋系统末端试水装置，接入DN50的排水立管中，减压阀出未设置排水措施。</w:t>
      </w:r>
    </w:p>
    <w:p w14:paraId="663E34F4">
      <w:pPr>
        <w:pageBreakBefore w:val="0"/>
        <w:kinsoku/>
        <w:wordWrap w:val="0"/>
        <w:overflowPunct w:val="0"/>
        <w:topLinePunct w:val="0"/>
        <w:bidi w:val="0"/>
        <w:snapToGrid/>
        <w:ind w:firstLine="560"/>
        <w:textAlignment w:val="auto"/>
        <w:rPr>
          <w:rFonts w:hint="eastAsia" w:ascii="宋体" w:hAnsi="宋体" w:cs="宋体"/>
          <w:bCs/>
          <w:color w:val="000000"/>
          <w:sz w:val="28"/>
          <w:szCs w:val="28"/>
        </w:rPr>
      </w:pPr>
    </w:p>
    <w:p w14:paraId="4324B643">
      <w:pPr>
        <w:pageBreakBefore w:val="0"/>
        <w:kinsoku/>
        <w:wordWrap w:val="0"/>
        <w:overflowPunct w:val="0"/>
        <w:topLinePunct w:val="0"/>
        <w:bidi w:val="0"/>
        <w:snapToGrid/>
        <w:ind w:firstLine="560"/>
        <w:textAlignment w:val="auto"/>
        <w:rPr>
          <w:rFonts w:hint="eastAsia" w:ascii="宋体" w:hAnsi="宋体" w:cs="宋体"/>
          <w:bCs/>
          <w:color w:val="000000"/>
          <w:sz w:val="28"/>
          <w:szCs w:val="28"/>
        </w:rPr>
      </w:pPr>
      <w:r>
        <w:rPr>
          <w:rFonts w:hint="eastAsia" w:ascii="宋体" w:hAnsi="宋体" w:cs="宋体"/>
          <w:bCs/>
          <w:color w:val="000000"/>
          <w:sz w:val="28"/>
          <w:szCs w:val="28"/>
        </w:rPr>
        <w:t>3.0.12</w:t>
      </w:r>
      <w:r>
        <w:rPr>
          <w:rFonts w:hint="eastAsia" w:ascii="宋体" w:hAnsi="宋体" w:cs="宋体"/>
          <w:bCs/>
          <w:color w:val="000000"/>
          <w:sz w:val="28"/>
          <w:szCs w:val="28"/>
          <w:lang w:val="en-US" w:eastAsia="zh-CN"/>
        </w:rPr>
        <w:t xml:space="preserve"> </w:t>
      </w:r>
      <w:r>
        <w:rPr>
          <w:rFonts w:hint="eastAsia" w:ascii="宋体" w:hAnsi="宋体" w:cs="宋体"/>
          <w:bCs/>
          <w:color w:val="000000"/>
          <w:sz w:val="28"/>
          <w:szCs w:val="28"/>
        </w:rPr>
        <w:t>消防管道未涂刷色环，未设置管道标志标识，不满足规范要求。</w:t>
      </w:r>
    </w:p>
    <w:p w14:paraId="46FC0720">
      <w:pPr>
        <w:pageBreakBefore w:val="0"/>
        <w:kinsoku/>
        <w:wordWrap w:val="0"/>
        <w:overflowPunct w:val="0"/>
        <w:topLinePunct w:val="0"/>
        <w:bidi w:val="0"/>
        <w:snapToGrid/>
        <w:ind w:firstLine="560"/>
        <w:textAlignment w:val="auto"/>
        <w:rPr>
          <w:rFonts w:hint="eastAsia" w:ascii="宋体" w:hAnsi="宋体" w:cs="宋体"/>
          <w:bCs/>
          <w:color w:val="000000"/>
          <w:sz w:val="28"/>
          <w:szCs w:val="28"/>
        </w:rPr>
      </w:pPr>
      <w:r>
        <w:rPr>
          <w:rFonts w:hint="eastAsia" w:ascii="宋体" w:hAnsi="宋体" w:cs="宋体"/>
          <w:b/>
          <w:color w:val="000000"/>
          <w:sz w:val="28"/>
          <w:szCs w:val="28"/>
        </w:rPr>
        <w:t>依据：</w:t>
      </w:r>
      <w:r>
        <w:rPr>
          <w:rFonts w:hint="eastAsia" w:ascii="宋体" w:hAnsi="宋体" w:cs="宋体"/>
          <w:bCs/>
          <w:color w:val="000000"/>
          <w:sz w:val="28"/>
          <w:szCs w:val="28"/>
        </w:rPr>
        <w:t>《消防给水及消火栓系统技术规范》</w:t>
      </w:r>
      <w:r>
        <w:rPr>
          <w:rFonts w:hint="eastAsia" w:ascii="宋体" w:hAnsi="宋体" w:cs="宋体"/>
          <w:bCs/>
          <w:color w:val="000000"/>
          <w:sz w:val="28"/>
          <w:szCs w:val="28"/>
          <w:lang w:eastAsia="zh-CN"/>
        </w:rPr>
        <w:t>（</w:t>
      </w:r>
      <w:r>
        <w:rPr>
          <w:rFonts w:hint="eastAsia" w:ascii="宋体" w:hAnsi="宋体" w:cs="宋体"/>
          <w:bCs/>
          <w:color w:val="000000"/>
          <w:sz w:val="28"/>
          <w:szCs w:val="28"/>
        </w:rPr>
        <w:t>GB50974-2014</w:t>
      </w:r>
      <w:r>
        <w:rPr>
          <w:rFonts w:hint="eastAsia" w:ascii="宋体" w:hAnsi="宋体" w:cs="宋体"/>
          <w:bCs/>
          <w:color w:val="000000"/>
          <w:sz w:val="28"/>
          <w:szCs w:val="28"/>
          <w:lang w:eastAsia="zh-CN"/>
        </w:rPr>
        <w:t>）</w:t>
      </w:r>
      <w:r>
        <w:rPr>
          <w:rFonts w:hint="eastAsia" w:ascii="宋体" w:hAnsi="宋体" w:cs="宋体"/>
          <w:bCs/>
          <w:color w:val="000000"/>
          <w:sz w:val="28"/>
          <w:szCs w:val="28"/>
        </w:rPr>
        <w:t>第12.3.24条</w:t>
      </w:r>
      <w:r>
        <w:rPr>
          <w:rFonts w:hint="eastAsia" w:ascii="宋体" w:hAnsi="宋体" w:cs="宋体"/>
          <w:bCs/>
          <w:color w:val="000000"/>
          <w:sz w:val="28"/>
          <w:szCs w:val="28"/>
          <w:lang w:eastAsia="zh-CN"/>
        </w:rPr>
        <w:t>，</w:t>
      </w:r>
      <w:r>
        <w:rPr>
          <w:rFonts w:hint="eastAsia" w:ascii="宋体" w:hAnsi="宋体" w:cs="宋体"/>
          <w:bCs/>
          <w:color w:val="000000"/>
          <w:sz w:val="28"/>
          <w:szCs w:val="28"/>
        </w:rPr>
        <w:t>架空管道外应刷红色油漆或涂红色环圈标志，并应注明管道名称和水流方向标识。红色环圈标志，宽度不应小于20mm，间隔不宜大于4m，在一个独立的单元内环圈不宜少于2处。</w:t>
      </w:r>
    </w:p>
    <w:p w14:paraId="2CB9CD5C">
      <w:pPr>
        <w:pageBreakBefore w:val="0"/>
        <w:kinsoku/>
        <w:wordWrap w:val="0"/>
        <w:overflowPunct w:val="0"/>
        <w:topLinePunct w:val="0"/>
        <w:bidi w:val="0"/>
        <w:snapToGrid/>
        <w:ind w:firstLine="560"/>
        <w:textAlignment w:val="auto"/>
        <w:rPr>
          <w:rFonts w:hint="eastAsia" w:ascii="宋体" w:hAnsi="宋体" w:cs="宋体"/>
          <w:bCs/>
          <w:color w:val="000000"/>
          <w:sz w:val="28"/>
          <w:szCs w:val="28"/>
        </w:rPr>
      </w:pPr>
      <w:r>
        <w:rPr>
          <w:rFonts w:hint="eastAsia" w:ascii="宋体" w:hAnsi="宋体" w:cs="宋体"/>
          <w:bCs/>
          <w:color w:val="000000"/>
          <w:sz w:val="28"/>
          <w:szCs w:val="28"/>
        </w:rPr>
        <w:t>案例：某车站消防给水管网采用热浸镀锌钢管，未刷红色油漆及涂红色环圈标志，只有名称及水流方向。</w:t>
      </w:r>
    </w:p>
    <w:p w14:paraId="4D3476D9">
      <w:pPr>
        <w:pageBreakBefore w:val="0"/>
        <w:kinsoku/>
        <w:wordWrap w:val="0"/>
        <w:overflowPunct w:val="0"/>
        <w:topLinePunct w:val="0"/>
        <w:bidi w:val="0"/>
        <w:snapToGrid/>
        <w:ind w:firstLine="560"/>
        <w:textAlignment w:val="auto"/>
        <w:rPr>
          <w:rFonts w:hint="eastAsia" w:ascii="宋体" w:hAnsi="宋体" w:cs="宋体"/>
          <w:bCs/>
          <w:color w:val="000000"/>
          <w:sz w:val="28"/>
          <w:szCs w:val="28"/>
        </w:rPr>
      </w:pPr>
    </w:p>
    <w:p w14:paraId="4E1A2025">
      <w:pPr>
        <w:pageBreakBefore w:val="0"/>
        <w:kinsoku/>
        <w:wordWrap w:val="0"/>
        <w:overflowPunct w:val="0"/>
        <w:topLinePunct w:val="0"/>
        <w:bidi w:val="0"/>
        <w:snapToGrid/>
        <w:ind w:firstLine="560"/>
        <w:textAlignment w:val="auto"/>
        <w:rPr>
          <w:rFonts w:hint="eastAsia" w:ascii="宋体" w:hAnsi="宋体" w:cs="宋体"/>
          <w:bCs/>
          <w:color w:val="000000"/>
          <w:sz w:val="28"/>
          <w:szCs w:val="28"/>
        </w:rPr>
      </w:pPr>
      <w:r>
        <w:rPr>
          <w:rFonts w:hint="eastAsia" w:ascii="宋体" w:hAnsi="宋体" w:cs="宋体"/>
          <w:bCs/>
          <w:color w:val="000000"/>
          <w:sz w:val="28"/>
          <w:szCs w:val="28"/>
        </w:rPr>
        <w:t>3.0.13</w:t>
      </w:r>
      <w:r>
        <w:rPr>
          <w:rFonts w:hint="eastAsia" w:ascii="宋体" w:hAnsi="宋体" w:cs="宋体"/>
          <w:bCs/>
          <w:color w:val="000000"/>
          <w:sz w:val="28"/>
          <w:szCs w:val="28"/>
          <w:lang w:val="en-US" w:eastAsia="zh-CN"/>
        </w:rPr>
        <w:t xml:space="preserve"> </w:t>
      </w:r>
      <w:r>
        <w:rPr>
          <w:rFonts w:hint="eastAsia" w:ascii="宋体" w:hAnsi="宋体" w:cs="宋体"/>
          <w:bCs/>
          <w:color w:val="000000"/>
          <w:sz w:val="28"/>
          <w:szCs w:val="28"/>
        </w:rPr>
        <w:t>消防水泵房未设置挡水槛和排水措施。</w:t>
      </w:r>
    </w:p>
    <w:p w14:paraId="6B7B8BE4">
      <w:pPr>
        <w:pageBreakBefore w:val="0"/>
        <w:kinsoku/>
        <w:wordWrap w:val="0"/>
        <w:overflowPunct w:val="0"/>
        <w:topLinePunct w:val="0"/>
        <w:bidi w:val="0"/>
        <w:snapToGrid/>
        <w:ind w:firstLine="560"/>
        <w:textAlignment w:val="auto"/>
        <w:rPr>
          <w:rFonts w:hint="eastAsia" w:ascii="宋体" w:hAnsi="宋体" w:cs="宋体"/>
          <w:bCs/>
          <w:color w:val="000000"/>
          <w:sz w:val="28"/>
          <w:szCs w:val="28"/>
        </w:rPr>
      </w:pPr>
      <w:r>
        <w:rPr>
          <w:rFonts w:hint="eastAsia" w:ascii="宋体" w:hAnsi="宋体" w:cs="宋体"/>
          <w:b/>
          <w:color w:val="000000"/>
          <w:sz w:val="28"/>
          <w:szCs w:val="28"/>
        </w:rPr>
        <w:t>依据：</w:t>
      </w:r>
      <w:r>
        <w:rPr>
          <w:rFonts w:hint="eastAsia" w:ascii="宋体" w:hAnsi="宋体" w:cs="宋体"/>
          <w:bCs/>
          <w:color w:val="000000"/>
          <w:sz w:val="28"/>
          <w:szCs w:val="28"/>
        </w:rPr>
        <w:t>《建筑防火通用规范》</w:t>
      </w:r>
      <w:r>
        <w:rPr>
          <w:rFonts w:hint="eastAsia" w:ascii="宋体" w:hAnsi="宋体" w:cs="宋体"/>
          <w:bCs/>
          <w:color w:val="000000"/>
          <w:sz w:val="28"/>
          <w:szCs w:val="28"/>
          <w:lang w:eastAsia="zh-CN"/>
        </w:rPr>
        <w:t>（</w:t>
      </w:r>
      <w:r>
        <w:rPr>
          <w:rFonts w:hint="eastAsia" w:ascii="宋体" w:hAnsi="宋体" w:cs="宋体"/>
          <w:bCs/>
          <w:color w:val="000000"/>
          <w:sz w:val="28"/>
          <w:szCs w:val="28"/>
        </w:rPr>
        <w:t>GB55037-2022</w:t>
      </w:r>
      <w:r>
        <w:rPr>
          <w:rFonts w:hint="eastAsia" w:ascii="宋体" w:hAnsi="宋体" w:cs="宋体"/>
          <w:bCs/>
          <w:color w:val="000000"/>
          <w:sz w:val="28"/>
          <w:szCs w:val="28"/>
          <w:lang w:eastAsia="zh-CN"/>
        </w:rPr>
        <w:t>）</w:t>
      </w:r>
      <w:r>
        <w:rPr>
          <w:rFonts w:hint="eastAsia" w:ascii="宋体" w:hAnsi="宋体" w:cs="宋体"/>
          <w:bCs/>
          <w:color w:val="000000"/>
          <w:sz w:val="28"/>
          <w:szCs w:val="28"/>
        </w:rPr>
        <w:t>第4.1.7条第6款，消防水泵房应采取防水淹没的技术措施。</w:t>
      </w:r>
    </w:p>
    <w:p w14:paraId="328ECD68">
      <w:pPr>
        <w:pageBreakBefore w:val="0"/>
        <w:kinsoku/>
        <w:wordWrap w:val="0"/>
        <w:overflowPunct w:val="0"/>
        <w:topLinePunct w:val="0"/>
        <w:bidi w:val="0"/>
        <w:snapToGrid/>
        <w:ind w:firstLine="560"/>
        <w:textAlignment w:val="auto"/>
        <w:rPr>
          <w:rFonts w:hint="eastAsia" w:ascii="宋体" w:hAnsi="宋体" w:cs="宋体"/>
          <w:bCs/>
          <w:color w:val="000000"/>
          <w:sz w:val="28"/>
          <w:szCs w:val="28"/>
        </w:rPr>
      </w:pPr>
      <w:r>
        <w:rPr>
          <w:rFonts w:hint="eastAsia" w:ascii="宋体" w:hAnsi="宋体" w:cs="宋体"/>
          <w:bCs/>
          <w:color w:val="000000"/>
          <w:sz w:val="28"/>
          <w:szCs w:val="28"/>
        </w:rPr>
        <w:t>案例：某车站设置在地下一层的消防水泵房门洞处未设置挡水槛和排水措施。</w:t>
      </w:r>
    </w:p>
    <w:p w14:paraId="16ABD51E">
      <w:pPr>
        <w:pageBreakBefore w:val="0"/>
        <w:kinsoku/>
        <w:wordWrap w:val="0"/>
        <w:overflowPunct w:val="0"/>
        <w:topLinePunct w:val="0"/>
        <w:bidi w:val="0"/>
        <w:snapToGrid/>
        <w:ind w:firstLine="0"/>
        <w:textAlignment w:val="auto"/>
        <w:rPr>
          <w:rFonts w:hint="eastAsia" w:ascii="宋体" w:hAnsi="宋体" w:cs="宋体"/>
          <w:bCs/>
          <w:color w:val="000000"/>
          <w:sz w:val="28"/>
          <w:szCs w:val="28"/>
        </w:rPr>
      </w:pPr>
    </w:p>
    <w:p w14:paraId="137062DE">
      <w:pPr>
        <w:pageBreakBefore w:val="0"/>
        <w:kinsoku/>
        <w:wordWrap w:val="0"/>
        <w:overflowPunct w:val="0"/>
        <w:topLinePunct w:val="0"/>
        <w:bidi w:val="0"/>
        <w:snapToGrid/>
        <w:ind w:firstLine="560"/>
        <w:textAlignment w:val="auto"/>
        <w:rPr>
          <w:rFonts w:hint="eastAsia" w:ascii="宋体" w:hAnsi="宋体" w:cs="宋体"/>
          <w:bCs/>
          <w:color w:val="000000"/>
          <w:sz w:val="28"/>
          <w:szCs w:val="28"/>
        </w:rPr>
      </w:pPr>
      <w:r>
        <w:rPr>
          <w:rFonts w:hint="eastAsia" w:ascii="宋体" w:hAnsi="宋体" w:cs="宋体"/>
          <w:bCs/>
          <w:color w:val="000000"/>
          <w:sz w:val="28"/>
          <w:szCs w:val="28"/>
        </w:rPr>
        <w:t>3.0.14 位于站厅层的消防主泵和消防稳压泵启泵压力设置太低，系统压力无法降至设置的启泵压力值，无法自动启动稳压泵和消防主泵。</w:t>
      </w:r>
    </w:p>
    <w:p w14:paraId="157D23E8">
      <w:pPr>
        <w:pageBreakBefore w:val="0"/>
        <w:kinsoku/>
        <w:wordWrap w:val="0"/>
        <w:overflowPunct w:val="0"/>
        <w:topLinePunct w:val="0"/>
        <w:bidi w:val="0"/>
        <w:snapToGrid/>
        <w:ind w:firstLine="560"/>
        <w:textAlignment w:val="auto"/>
        <w:rPr>
          <w:rFonts w:hint="eastAsia" w:ascii="宋体" w:hAnsi="宋体" w:cs="宋体"/>
          <w:bCs/>
          <w:color w:val="000000"/>
          <w:sz w:val="28"/>
          <w:szCs w:val="28"/>
        </w:rPr>
      </w:pPr>
      <w:r>
        <w:rPr>
          <w:rFonts w:hint="eastAsia" w:ascii="宋体" w:hAnsi="宋体" w:cs="宋体"/>
          <w:b/>
          <w:bCs w:val="0"/>
          <w:color w:val="000000"/>
          <w:sz w:val="28"/>
          <w:szCs w:val="28"/>
          <w:lang w:val="en-US" w:eastAsia="zh-CN"/>
        </w:rPr>
        <w:t>依据：</w:t>
      </w:r>
      <w:r>
        <w:rPr>
          <w:rFonts w:hint="eastAsia" w:ascii="宋体" w:hAnsi="宋体" w:cs="宋体"/>
          <w:bCs/>
          <w:color w:val="000000"/>
          <w:sz w:val="28"/>
          <w:szCs w:val="28"/>
        </w:rPr>
        <w:t>《消防给水及消火栓系统技术规范》</w:t>
      </w:r>
      <w:r>
        <w:rPr>
          <w:rFonts w:hint="eastAsia" w:ascii="宋体" w:hAnsi="宋体" w:cs="宋体"/>
          <w:bCs/>
          <w:color w:val="000000"/>
          <w:sz w:val="28"/>
          <w:szCs w:val="28"/>
          <w:lang w:eastAsia="zh-CN"/>
        </w:rPr>
        <w:t>（</w:t>
      </w:r>
      <w:r>
        <w:rPr>
          <w:rFonts w:hint="eastAsia" w:ascii="宋体" w:hAnsi="宋体" w:cs="宋体"/>
          <w:bCs/>
          <w:color w:val="000000"/>
          <w:sz w:val="28"/>
          <w:szCs w:val="28"/>
        </w:rPr>
        <w:t>GB50974-2014</w:t>
      </w:r>
      <w:r>
        <w:rPr>
          <w:rFonts w:hint="eastAsia" w:ascii="宋体" w:hAnsi="宋体" w:cs="宋体"/>
          <w:bCs/>
          <w:color w:val="000000"/>
          <w:sz w:val="28"/>
          <w:szCs w:val="28"/>
          <w:lang w:eastAsia="zh-CN"/>
        </w:rPr>
        <w:t>）</w:t>
      </w:r>
      <w:r>
        <w:rPr>
          <w:rFonts w:hint="eastAsia" w:ascii="宋体" w:hAnsi="宋体" w:cs="宋体"/>
          <w:bCs/>
          <w:color w:val="000000"/>
          <w:sz w:val="28"/>
          <w:szCs w:val="28"/>
        </w:rPr>
        <w:t>第5.3.3条</w:t>
      </w:r>
      <w:r>
        <w:rPr>
          <w:rFonts w:hint="eastAsia" w:ascii="宋体" w:hAnsi="宋体" w:cs="宋体"/>
          <w:bCs/>
          <w:color w:val="000000"/>
          <w:sz w:val="28"/>
          <w:szCs w:val="28"/>
          <w:lang w:eastAsia="zh-CN"/>
        </w:rPr>
        <w:t>，</w:t>
      </w:r>
      <w:r>
        <w:rPr>
          <w:rFonts w:hint="eastAsia" w:ascii="宋体" w:hAnsi="宋体" w:cs="宋体"/>
          <w:bCs/>
          <w:color w:val="000000"/>
          <w:sz w:val="28"/>
          <w:szCs w:val="28"/>
        </w:rPr>
        <w:t>稳压泵的设计压力应满足系统自动启动的要求；《消防给水及消火栓系统技术规范》</w:t>
      </w:r>
      <w:r>
        <w:rPr>
          <w:rFonts w:hint="eastAsia" w:ascii="宋体" w:hAnsi="宋体" w:cs="宋体"/>
          <w:bCs/>
          <w:color w:val="000000"/>
          <w:sz w:val="28"/>
          <w:szCs w:val="28"/>
          <w:lang w:eastAsia="zh-CN"/>
        </w:rPr>
        <w:t>（</w:t>
      </w:r>
      <w:r>
        <w:rPr>
          <w:rFonts w:hint="eastAsia" w:ascii="宋体" w:hAnsi="宋体" w:cs="宋体"/>
          <w:bCs/>
          <w:color w:val="000000"/>
          <w:sz w:val="28"/>
          <w:szCs w:val="28"/>
        </w:rPr>
        <w:t>GB50974-2014</w:t>
      </w:r>
      <w:r>
        <w:rPr>
          <w:rFonts w:hint="eastAsia" w:ascii="宋体" w:hAnsi="宋体" w:cs="宋体"/>
          <w:bCs/>
          <w:color w:val="000000"/>
          <w:sz w:val="28"/>
          <w:szCs w:val="28"/>
          <w:lang w:eastAsia="zh-CN"/>
        </w:rPr>
        <w:t>）</w:t>
      </w:r>
      <w:r>
        <w:rPr>
          <w:rFonts w:hint="eastAsia" w:ascii="宋体" w:hAnsi="宋体" w:cs="宋体"/>
          <w:bCs/>
          <w:color w:val="000000"/>
          <w:sz w:val="28"/>
          <w:szCs w:val="28"/>
        </w:rPr>
        <w:t>第11.0.5条</w:t>
      </w:r>
      <w:r>
        <w:rPr>
          <w:rFonts w:hint="eastAsia" w:ascii="宋体" w:hAnsi="宋体" w:cs="宋体"/>
          <w:bCs/>
          <w:color w:val="000000"/>
          <w:sz w:val="28"/>
          <w:szCs w:val="28"/>
          <w:lang w:eastAsia="zh-CN"/>
        </w:rPr>
        <w:t>，</w:t>
      </w:r>
      <w:r>
        <w:rPr>
          <w:rFonts w:hint="eastAsia" w:ascii="宋体" w:hAnsi="宋体" w:cs="宋体"/>
          <w:bCs/>
          <w:color w:val="000000"/>
          <w:sz w:val="28"/>
          <w:szCs w:val="28"/>
        </w:rPr>
        <w:t>消防水泵应能手动和自动启动。</w:t>
      </w:r>
    </w:p>
    <w:p w14:paraId="650670A5">
      <w:pPr>
        <w:pageBreakBefore w:val="0"/>
        <w:kinsoku/>
        <w:wordWrap w:val="0"/>
        <w:overflowPunct w:val="0"/>
        <w:topLinePunct w:val="0"/>
        <w:bidi w:val="0"/>
        <w:snapToGrid/>
        <w:ind w:firstLine="560"/>
        <w:textAlignment w:val="auto"/>
        <w:rPr>
          <w:rFonts w:hint="eastAsia" w:ascii="宋体" w:hAnsi="宋体" w:cs="宋体"/>
          <w:bCs/>
          <w:color w:val="000000"/>
          <w:sz w:val="28"/>
          <w:szCs w:val="28"/>
        </w:rPr>
      </w:pPr>
      <w:r>
        <w:rPr>
          <w:rFonts w:hint="eastAsia" w:ascii="宋体" w:hAnsi="宋体" w:cs="宋体"/>
          <w:bCs/>
          <w:color w:val="000000"/>
          <w:sz w:val="28"/>
          <w:szCs w:val="28"/>
        </w:rPr>
        <w:t>案例：某车站设计消火栓主泵启泵压力0.14Mpa，而设置消防泵房的站厅层距设置消防水池的地面高差约30m，由于水池静压的作用，管网系统在消防泵房处压力无法降低至0.14Mpa，无法启动主泵。</w:t>
      </w:r>
    </w:p>
    <w:p w14:paraId="11D9F6C3">
      <w:pPr>
        <w:pageBreakBefore w:val="0"/>
        <w:kinsoku/>
        <w:wordWrap w:val="0"/>
        <w:overflowPunct w:val="0"/>
        <w:topLinePunct w:val="0"/>
        <w:bidi w:val="0"/>
        <w:snapToGrid/>
        <w:ind w:firstLine="560"/>
        <w:textAlignment w:val="auto"/>
        <w:rPr>
          <w:rFonts w:hint="eastAsia" w:ascii="宋体" w:hAnsi="宋体" w:cs="宋体"/>
          <w:bCs/>
          <w:color w:val="000000"/>
          <w:sz w:val="28"/>
          <w:szCs w:val="28"/>
        </w:rPr>
      </w:pPr>
    </w:p>
    <w:p w14:paraId="150A516C">
      <w:pPr>
        <w:pageBreakBefore w:val="0"/>
        <w:kinsoku/>
        <w:wordWrap w:val="0"/>
        <w:overflowPunct w:val="0"/>
        <w:topLinePunct w:val="0"/>
        <w:bidi w:val="0"/>
        <w:snapToGrid/>
        <w:ind w:firstLine="560"/>
        <w:textAlignment w:val="auto"/>
        <w:rPr>
          <w:rFonts w:hint="eastAsia" w:ascii="宋体" w:hAnsi="宋体" w:cs="宋体"/>
          <w:bCs/>
          <w:color w:val="000000"/>
          <w:sz w:val="28"/>
          <w:szCs w:val="28"/>
        </w:rPr>
      </w:pPr>
      <w:r>
        <w:rPr>
          <w:rFonts w:hint="eastAsia" w:ascii="宋体" w:hAnsi="宋体" w:cs="宋体"/>
          <w:bCs/>
          <w:color w:val="000000"/>
          <w:sz w:val="28"/>
          <w:szCs w:val="28"/>
        </w:rPr>
        <w:t>3.0.15</w:t>
      </w:r>
      <w:r>
        <w:rPr>
          <w:rFonts w:hint="eastAsia" w:ascii="宋体" w:hAnsi="宋体" w:cs="宋体"/>
          <w:bCs/>
          <w:color w:val="000000"/>
          <w:sz w:val="28"/>
          <w:szCs w:val="28"/>
          <w:lang w:val="en-US" w:eastAsia="zh-CN"/>
        </w:rPr>
        <w:t xml:space="preserve"> </w:t>
      </w:r>
      <w:r>
        <w:rPr>
          <w:rFonts w:hint="eastAsia" w:ascii="宋体" w:hAnsi="宋体" w:cs="宋体"/>
          <w:bCs/>
          <w:color w:val="000000"/>
          <w:sz w:val="28"/>
          <w:szCs w:val="28"/>
        </w:rPr>
        <w:t>在大型枢纽或换乘站，净空高度大于8m的站厅或换乘厅设置湿式喷淋系统，喷头布置间距大于3m。</w:t>
      </w:r>
    </w:p>
    <w:p w14:paraId="5E35FDE6">
      <w:pPr>
        <w:pageBreakBefore w:val="0"/>
        <w:kinsoku/>
        <w:wordWrap w:val="0"/>
        <w:overflowPunct w:val="0"/>
        <w:topLinePunct w:val="0"/>
        <w:bidi w:val="0"/>
        <w:snapToGrid/>
        <w:ind w:firstLine="560"/>
        <w:textAlignment w:val="auto"/>
        <w:rPr>
          <w:rFonts w:hint="eastAsia" w:ascii="宋体" w:hAnsi="宋体" w:cs="宋体"/>
          <w:bCs/>
          <w:color w:val="000000"/>
          <w:sz w:val="28"/>
          <w:szCs w:val="28"/>
        </w:rPr>
      </w:pPr>
      <w:r>
        <w:rPr>
          <w:rFonts w:hint="eastAsia" w:ascii="宋体" w:hAnsi="宋体" w:cs="宋体"/>
          <w:b/>
          <w:color w:val="000000"/>
          <w:sz w:val="28"/>
          <w:szCs w:val="28"/>
        </w:rPr>
        <w:t>依据：</w:t>
      </w:r>
      <w:r>
        <w:rPr>
          <w:rFonts w:hint="eastAsia" w:ascii="宋体" w:hAnsi="宋体" w:cs="宋体"/>
          <w:bCs/>
          <w:color w:val="000000"/>
          <w:sz w:val="28"/>
          <w:szCs w:val="28"/>
        </w:rPr>
        <w:t>《自动喷水灭火系统设计规范》</w:t>
      </w:r>
      <w:r>
        <w:rPr>
          <w:rFonts w:hint="eastAsia" w:ascii="宋体" w:hAnsi="宋体" w:cs="宋体"/>
          <w:bCs/>
          <w:color w:val="000000"/>
          <w:sz w:val="28"/>
          <w:szCs w:val="28"/>
          <w:lang w:eastAsia="zh-CN"/>
        </w:rPr>
        <w:t>（</w:t>
      </w:r>
      <w:r>
        <w:rPr>
          <w:rFonts w:hint="eastAsia" w:ascii="宋体" w:hAnsi="宋体" w:cs="宋体"/>
          <w:bCs/>
          <w:color w:val="000000"/>
          <w:sz w:val="28"/>
          <w:szCs w:val="28"/>
        </w:rPr>
        <w:t>GB50084-2017</w:t>
      </w:r>
      <w:r>
        <w:rPr>
          <w:rFonts w:hint="eastAsia" w:ascii="宋体" w:hAnsi="宋体" w:cs="宋体"/>
          <w:bCs/>
          <w:color w:val="000000"/>
          <w:sz w:val="28"/>
          <w:szCs w:val="28"/>
          <w:lang w:eastAsia="zh-CN"/>
        </w:rPr>
        <w:t>）</w:t>
      </w:r>
      <w:r>
        <w:rPr>
          <w:rFonts w:hint="eastAsia" w:ascii="宋体" w:hAnsi="宋体" w:cs="宋体"/>
          <w:bCs/>
          <w:color w:val="000000"/>
          <w:sz w:val="28"/>
          <w:szCs w:val="28"/>
        </w:rPr>
        <w:t>第5.0.2条，高大空间场所，采取了加大喷水量措施，喷水强度提高到12L/min.m2，喷头间距应在1.8米至3米之间。</w:t>
      </w:r>
    </w:p>
    <w:p w14:paraId="5962762A">
      <w:pPr>
        <w:pageBreakBefore w:val="0"/>
        <w:widowControl/>
        <w:kinsoku/>
        <w:wordWrap w:val="0"/>
        <w:overflowPunct w:val="0"/>
        <w:topLinePunct w:val="0"/>
        <w:bidi w:val="0"/>
        <w:snapToGrid/>
        <w:ind w:firstLine="560"/>
        <w:jc w:val="left"/>
        <w:textAlignment w:val="auto"/>
        <w:rPr>
          <w:rFonts w:hint="eastAsia" w:ascii="宋体" w:hAnsi="宋体" w:cs="宋体"/>
          <w:bCs/>
          <w:color w:val="000000"/>
          <w:sz w:val="28"/>
          <w:szCs w:val="28"/>
        </w:rPr>
      </w:pPr>
      <w:r>
        <w:rPr>
          <w:rFonts w:hint="eastAsia" w:ascii="宋体" w:hAnsi="宋体" w:cs="宋体"/>
          <w:bCs/>
          <w:color w:val="000000"/>
          <w:sz w:val="28"/>
          <w:szCs w:val="28"/>
        </w:rPr>
        <w:t>案例：某交通枢纽内轨道换乘厅层高大于8米，设置了喷淋系统，喷头布置间距超过3米。</w:t>
      </w:r>
    </w:p>
    <w:p w14:paraId="3C9D86F7">
      <w:pPr>
        <w:pageBreakBefore w:val="0"/>
        <w:widowControl/>
        <w:kinsoku/>
        <w:wordWrap w:val="0"/>
        <w:overflowPunct w:val="0"/>
        <w:topLinePunct w:val="0"/>
        <w:bidi w:val="0"/>
        <w:snapToGrid/>
        <w:ind w:firstLine="560"/>
        <w:jc w:val="left"/>
        <w:textAlignment w:val="auto"/>
        <w:rPr>
          <w:rFonts w:hint="eastAsia" w:ascii="宋体" w:hAnsi="宋体" w:cs="宋体"/>
          <w:bCs/>
          <w:color w:val="000000"/>
          <w:sz w:val="28"/>
          <w:szCs w:val="28"/>
        </w:rPr>
      </w:pPr>
    </w:p>
    <w:p w14:paraId="56026DC7">
      <w:pPr>
        <w:pageBreakBefore w:val="0"/>
        <w:kinsoku/>
        <w:wordWrap w:val="0"/>
        <w:overflowPunct w:val="0"/>
        <w:topLinePunct w:val="0"/>
        <w:bidi w:val="0"/>
        <w:snapToGrid/>
        <w:ind w:firstLine="560" w:firstLineChars="0"/>
        <w:textAlignment w:val="auto"/>
        <w:rPr>
          <w:rFonts w:hint="eastAsia" w:ascii="宋体" w:hAnsi="宋体" w:cs="宋体"/>
          <w:bCs/>
          <w:color w:val="000000"/>
          <w:sz w:val="28"/>
          <w:szCs w:val="28"/>
        </w:rPr>
      </w:pPr>
      <w:r>
        <w:rPr>
          <w:rFonts w:hint="eastAsia" w:ascii="宋体" w:hAnsi="宋体" w:cs="宋体"/>
          <w:bCs/>
          <w:color w:val="000000"/>
          <w:sz w:val="28"/>
          <w:szCs w:val="28"/>
        </w:rPr>
        <w:t>3.0.16 由于重庆轨道交通地下车站一般埋深较大，地下车站的消防水池置于地面时，消防水泵入口处有较大静压，消防水泵的扬程计算时未考虑该压力，直接将消防</w:t>
      </w:r>
      <w:r>
        <w:rPr>
          <w:rFonts w:hint="eastAsia" w:ascii="宋体" w:hAnsi="宋体" w:cs="宋体"/>
          <w:bCs/>
          <w:color w:val="000000"/>
          <w:sz w:val="28"/>
          <w:szCs w:val="28"/>
          <w:lang w:val="en-US" w:eastAsia="zh-CN"/>
        </w:rPr>
        <w:t>水</w:t>
      </w:r>
      <w:r>
        <w:rPr>
          <w:rFonts w:hint="eastAsia" w:ascii="宋体" w:hAnsi="宋体" w:cs="宋体"/>
          <w:bCs/>
          <w:color w:val="000000"/>
          <w:sz w:val="28"/>
          <w:szCs w:val="28"/>
        </w:rPr>
        <w:t>泵房与最不利设施的高差、总的水头损失和最不利点所需服务水头相加作为消防水泵的设计扬程，导致消防水泵的设计扬程偏大。</w:t>
      </w:r>
    </w:p>
    <w:p w14:paraId="6CDC46F8">
      <w:pPr>
        <w:pageBreakBefore w:val="0"/>
        <w:widowControl/>
        <w:kinsoku/>
        <w:wordWrap w:val="0"/>
        <w:overflowPunct w:val="0"/>
        <w:topLinePunct w:val="0"/>
        <w:bidi w:val="0"/>
        <w:snapToGrid/>
        <w:ind w:firstLine="560" w:firstLineChars="0"/>
        <w:jc w:val="left"/>
        <w:textAlignment w:val="auto"/>
        <w:rPr>
          <w:rFonts w:hint="eastAsia" w:ascii="宋体" w:hAnsi="宋体" w:cs="宋体"/>
          <w:bCs/>
          <w:color w:val="000000"/>
          <w:sz w:val="28"/>
          <w:szCs w:val="28"/>
        </w:rPr>
      </w:pPr>
      <w:r>
        <w:rPr>
          <w:rFonts w:hint="eastAsia" w:ascii="宋体" w:hAnsi="宋体" w:cs="宋体"/>
          <w:b/>
          <w:color w:val="000000"/>
          <w:sz w:val="28"/>
          <w:szCs w:val="28"/>
        </w:rPr>
        <w:t>依据：</w:t>
      </w:r>
      <w:r>
        <w:rPr>
          <w:rFonts w:hint="eastAsia" w:ascii="宋体" w:hAnsi="宋体" w:cs="宋体"/>
          <w:bCs/>
          <w:color w:val="000000"/>
          <w:sz w:val="28"/>
          <w:szCs w:val="28"/>
        </w:rPr>
        <w:t>《自动喷水灭火系统设计规范》</w:t>
      </w:r>
      <w:r>
        <w:rPr>
          <w:rFonts w:hint="eastAsia" w:ascii="宋体" w:hAnsi="宋体" w:cs="宋体"/>
          <w:bCs/>
          <w:color w:val="000000"/>
          <w:sz w:val="28"/>
          <w:szCs w:val="28"/>
          <w:lang w:eastAsia="zh-CN"/>
        </w:rPr>
        <w:t>（</w:t>
      </w:r>
      <w:r>
        <w:rPr>
          <w:rFonts w:hint="eastAsia" w:ascii="宋体" w:hAnsi="宋体" w:cs="宋体"/>
          <w:bCs/>
          <w:color w:val="000000"/>
          <w:sz w:val="28"/>
          <w:szCs w:val="28"/>
        </w:rPr>
        <w:t>GB50084-2017</w:t>
      </w:r>
      <w:r>
        <w:rPr>
          <w:rFonts w:hint="eastAsia" w:ascii="宋体" w:hAnsi="宋体" w:cs="宋体"/>
          <w:bCs/>
          <w:color w:val="000000"/>
          <w:sz w:val="28"/>
          <w:szCs w:val="28"/>
          <w:lang w:eastAsia="zh-CN"/>
        </w:rPr>
        <w:t>）</w:t>
      </w:r>
      <w:r>
        <w:rPr>
          <w:rFonts w:hint="eastAsia" w:ascii="宋体" w:hAnsi="宋体" w:cs="宋体"/>
          <w:bCs/>
          <w:color w:val="000000"/>
          <w:sz w:val="28"/>
          <w:szCs w:val="28"/>
          <w:lang w:val="en-US" w:eastAsia="zh-CN"/>
        </w:rPr>
        <w:t>第</w:t>
      </w:r>
      <w:r>
        <w:rPr>
          <w:rFonts w:hint="eastAsia" w:ascii="宋体" w:hAnsi="宋体" w:cs="宋体"/>
          <w:bCs/>
          <w:color w:val="000000"/>
          <w:sz w:val="28"/>
          <w:szCs w:val="28"/>
        </w:rPr>
        <w:t>9.2.4条</w:t>
      </w:r>
      <w:r>
        <w:rPr>
          <w:rFonts w:hint="eastAsia" w:ascii="宋体" w:hAnsi="宋体" w:cs="宋体"/>
          <w:bCs/>
          <w:color w:val="000000"/>
          <w:sz w:val="28"/>
          <w:szCs w:val="28"/>
          <w:lang w:eastAsia="zh-CN"/>
        </w:rPr>
        <w:t>，</w:t>
      </w:r>
      <w:r>
        <w:rPr>
          <w:rFonts w:hint="eastAsia" w:ascii="宋体" w:hAnsi="宋体" w:cs="宋体"/>
          <w:bCs/>
          <w:color w:val="000000"/>
          <w:sz w:val="28"/>
          <w:szCs w:val="28"/>
        </w:rPr>
        <w:t>水泵扬程或系统入口的供水压力应按下式计算：</w:t>
      </w:r>
    </w:p>
    <w:p w14:paraId="330F2FB0">
      <w:pPr>
        <w:pStyle w:val="6"/>
        <w:pageBreakBefore w:val="0"/>
        <w:kinsoku/>
        <w:wordWrap w:val="0"/>
        <w:topLinePunct w:val="0"/>
        <w:bidi w:val="0"/>
        <w:snapToGrid/>
        <w:ind w:firstLine="0" w:firstLineChars="0"/>
        <w:textAlignment w:val="auto"/>
        <w:rPr>
          <w:rFonts w:hAnsi="Cambria Math" w:cs="宋体"/>
          <w:bCs/>
          <w:color w:val="000000"/>
          <w:sz w:val="28"/>
          <w:szCs w:val="28"/>
        </w:rPr>
      </w:pPr>
      <m:oMathPara>
        <m:oMath>
          <m:r>
            <m:rPr>
              <m:sty m:val="p"/>
            </m:rPr>
            <w:rPr>
              <w:rFonts w:ascii="Cambria Math" w:hAnsi="Cambria Math" w:cs="宋体"/>
              <w:color w:val="000000"/>
              <w:sz w:val="28"/>
              <w:szCs w:val="28"/>
            </w:rPr>
            <m:t>H=（1.20~1.40</m:t>
          </m:r>
          <m:nary>
            <m:naryPr>
              <m:chr m:val="∑"/>
              <m:limLoc m:val="undOvr"/>
              <m:subHide m:val="1"/>
              <m:supHide m:val="1"/>
              <m:ctrlPr>
                <w:rPr>
                  <w:rFonts w:ascii="Cambria Math" w:hAnsi="Cambria Math" w:cs="宋体"/>
                  <w:bCs/>
                  <w:color w:val="000000"/>
                  <w:sz w:val="28"/>
                  <w:szCs w:val="28"/>
                </w:rPr>
              </m:ctrlPr>
            </m:naryPr>
            <m:sub>
              <m:ctrlPr>
                <w:rPr>
                  <w:rFonts w:ascii="Cambria Math" w:hAnsi="Cambria Math" w:cs="宋体"/>
                  <w:bCs/>
                  <w:color w:val="000000"/>
                  <w:sz w:val="28"/>
                  <w:szCs w:val="28"/>
                </w:rPr>
              </m:ctrlPr>
            </m:sub>
            <m:sup>
              <m:ctrlPr>
                <w:rPr>
                  <w:rFonts w:ascii="Cambria Math" w:hAnsi="Cambria Math" w:cs="宋体"/>
                  <w:bCs/>
                  <w:color w:val="000000"/>
                  <w:sz w:val="28"/>
                  <w:szCs w:val="28"/>
                </w:rPr>
              </m:ctrlPr>
            </m:sup>
            <m:e>
              <m:sSub>
                <m:sSubPr>
                  <m:ctrlPr>
                    <w:rPr>
                      <w:rFonts w:ascii="Cambria Math" w:hAnsi="Cambria Math" w:cs="宋体"/>
                      <w:bCs/>
                      <w:color w:val="000000"/>
                      <w:sz w:val="28"/>
                      <w:szCs w:val="28"/>
                    </w:rPr>
                  </m:ctrlPr>
                </m:sSubPr>
                <m:e>
                  <m:r>
                    <m:rPr>
                      <m:sty m:val="p"/>
                    </m:rPr>
                    <w:rPr>
                      <w:rFonts w:ascii="Cambria Math" w:hAnsi="Cambria Math" w:cs="宋体"/>
                      <w:color w:val="000000"/>
                      <w:sz w:val="28"/>
                      <w:szCs w:val="28"/>
                    </w:rPr>
                    <m:t>P</m:t>
                  </m:r>
                  <m:ctrlPr>
                    <w:rPr>
                      <w:rFonts w:ascii="Cambria Math" w:hAnsi="Cambria Math" w:cs="宋体"/>
                      <w:bCs/>
                      <w:color w:val="000000"/>
                      <w:sz w:val="28"/>
                      <w:szCs w:val="28"/>
                    </w:rPr>
                  </m:ctrlPr>
                </m:e>
                <m:sub>
                  <m:r>
                    <m:rPr>
                      <m:sty m:val="p"/>
                    </m:rPr>
                    <w:rPr>
                      <w:rFonts w:ascii="Cambria Math" w:hAnsi="Cambria Math" w:cs="宋体"/>
                      <w:color w:val="000000"/>
                      <w:sz w:val="28"/>
                      <w:szCs w:val="28"/>
                    </w:rPr>
                    <m:t>p</m:t>
                  </m:r>
                  <m:ctrlPr>
                    <w:rPr>
                      <w:rFonts w:ascii="Cambria Math" w:hAnsi="Cambria Math" w:cs="宋体"/>
                      <w:bCs/>
                      <w:color w:val="000000"/>
                      <w:sz w:val="28"/>
                      <w:szCs w:val="28"/>
                    </w:rPr>
                  </m:ctrlPr>
                </m:sub>
              </m:sSub>
              <m:ctrlPr>
                <w:rPr>
                  <w:rFonts w:ascii="Cambria Math" w:hAnsi="Cambria Math" w:cs="宋体"/>
                  <w:bCs/>
                  <w:color w:val="000000"/>
                  <w:sz w:val="28"/>
                  <w:szCs w:val="28"/>
                </w:rPr>
              </m:ctrlPr>
            </m:e>
          </m:nary>
          <m:r>
            <m:rPr>
              <m:sty m:val="p"/>
            </m:rPr>
            <w:rPr>
              <w:rFonts w:ascii="Cambria Math" w:hAnsi="Cambria Math" w:cs="宋体"/>
              <w:color w:val="000000"/>
              <w:sz w:val="28"/>
              <w:szCs w:val="28"/>
            </w:rPr>
            <m:t>+</m:t>
          </m:r>
          <m:sSub>
            <m:sSubPr>
              <m:ctrlPr>
                <w:rPr>
                  <w:rFonts w:ascii="Cambria Math" w:hAnsi="Cambria Math" w:cs="宋体"/>
                  <w:bCs/>
                  <w:color w:val="000000"/>
                  <w:sz w:val="28"/>
                  <w:szCs w:val="28"/>
                </w:rPr>
              </m:ctrlPr>
            </m:sSubPr>
            <m:e>
              <m:r>
                <m:rPr>
                  <m:sty m:val="p"/>
                </m:rPr>
                <w:rPr>
                  <w:rFonts w:ascii="Cambria Math" w:hAnsi="Cambria Math" w:cs="宋体"/>
                  <w:color w:val="000000"/>
                  <w:sz w:val="28"/>
                  <w:szCs w:val="28"/>
                </w:rPr>
                <m:t>P</m:t>
              </m:r>
              <m:ctrlPr>
                <w:rPr>
                  <w:rFonts w:ascii="Cambria Math" w:hAnsi="Cambria Math" w:cs="宋体"/>
                  <w:bCs/>
                  <w:color w:val="000000"/>
                  <w:sz w:val="28"/>
                  <w:szCs w:val="28"/>
                </w:rPr>
              </m:ctrlPr>
            </m:e>
            <m:sub>
              <m:r>
                <m:rPr>
                  <m:sty m:val="p"/>
                </m:rPr>
                <w:rPr>
                  <w:rFonts w:ascii="Cambria Math" w:hAnsi="Cambria Math" w:cs="宋体"/>
                  <w:color w:val="000000"/>
                  <w:sz w:val="28"/>
                  <w:szCs w:val="28"/>
                </w:rPr>
                <m:t>0</m:t>
              </m:r>
              <m:ctrlPr>
                <w:rPr>
                  <w:rFonts w:ascii="Cambria Math" w:hAnsi="Cambria Math" w:cs="宋体"/>
                  <w:bCs/>
                  <w:color w:val="000000"/>
                  <w:sz w:val="28"/>
                  <w:szCs w:val="28"/>
                </w:rPr>
              </m:ctrlPr>
            </m:sub>
          </m:sSub>
          <m:r>
            <m:rPr>
              <m:sty m:val="p"/>
            </m:rPr>
            <w:rPr>
              <w:rFonts w:ascii="Cambria Math" w:hAnsi="Cambria Math" w:cs="宋体"/>
              <w:color w:val="000000"/>
              <w:sz w:val="28"/>
              <w:szCs w:val="28"/>
            </w:rPr>
            <m:t>+Z−</m:t>
          </m:r>
          <m:sSub>
            <m:sSubPr>
              <m:ctrlPr>
                <w:rPr>
                  <w:rFonts w:ascii="Cambria Math" w:hAnsi="Cambria Math" w:cs="宋体"/>
                  <w:bCs/>
                  <w:color w:val="000000"/>
                  <w:sz w:val="28"/>
                  <w:szCs w:val="28"/>
                </w:rPr>
              </m:ctrlPr>
            </m:sSubPr>
            <m:e>
              <m:r>
                <m:rPr>
                  <m:sty m:val="p"/>
                </m:rPr>
                <w:rPr>
                  <w:rFonts w:ascii="Cambria Math" w:hAnsi="Cambria Math" w:cs="宋体"/>
                  <w:color w:val="000000"/>
                  <w:sz w:val="28"/>
                  <w:szCs w:val="28"/>
                </w:rPr>
                <m:t>h</m:t>
              </m:r>
              <m:ctrlPr>
                <w:rPr>
                  <w:rFonts w:ascii="Cambria Math" w:hAnsi="Cambria Math" w:cs="宋体"/>
                  <w:bCs/>
                  <w:color w:val="000000"/>
                  <w:sz w:val="28"/>
                  <w:szCs w:val="28"/>
                </w:rPr>
              </m:ctrlPr>
            </m:e>
            <m:sub>
              <m:r>
                <m:rPr>
                  <m:sty m:val="p"/>
                </m:rPr>
                <w:rPr>
                  <w:rFonts w:ascii="Cambria Math" w:hAnsi="Cambria Math" w:cs="宋体"/>
                  <w:color w:val="000000"/>
                  <w:sz w:val="28"/>
                  <w:szCs w:val="28"/>
                </w:rPr>
                <m:t>c</m:t>
              </m:r>
              <m:ctrlPr>
                <w:rPr>
                  <w:rFonts w:ascii="Cambria Math" w:hAnsi="Cambria Math" w:cs="宋体"/>
                  <w:bCs/>
                  <w:color w:val="000000"/>
                  <w:sz w:val="28"/>
                  <w:szCs w:val="28"/>
                </w:rPr>
              </m:ctrlPr>
            </m:sub>
          </m:sSub>
          <m:r>
            <m:rPr>
              <m:sty m:val="p"/>
            </m:rPr>
            <w:rPr>
              <w:rFonts w:ascii="Cambria Math" w:hAnsi="Cambria Math" w:cs="宋体"/>
              <w:color w:val="000000"/>
              <w:sz w:val="28"/>
              <w:szCs w:val="28"/>
            </w:rPr>
            <m:t>）</m:t>
          </m:r>
        </m:oMath>
      </m:oMathPara>
    </w:p>
    <w:p w14:paraId="315AB8FC">
      <w:pPr>
        <w:pStyle w:val="6"/>
        <w:pageBreakBefore w:val="0"/>
        <w:kinsoku/>
        <w:wordWrap w:val="0"/>
        <w:topLinePunct w:val="0"/>
        <w:bidi w:val="0"/>
        <w:snapToGrid/>
        <w:ind w:firstLine="560" w:firstLineChars="200"/>
        <w:textAlignment w:val="auto"/>
        <w:rPr>
          <w:rFonts w:ascii="宋体" w:hAnsi="宋体" w:eastAsia="宋体" w:cs="宋体"/>
          <w:bCs/>
          <w:color w:val="000000"/>
          <w:sz w:val="28"/>
          <w:szCs w:val="28"/>
        </w:rPr>
      </w:pPr>
      <w:r>
        <w:rPr>
          <w:rFonts w:hint="eastAsia" w:ascii="宋体" w:hAnsi="宋体" w:eastAsia="宋体" w:cs="宋体"/>
          <w:bCs/>
          <w:color w:val="000000"/>
          <w:sz w:val="28"/>
          <w:szCs w:val="28"/>
        </w:rPr>
        <w:t>其中Z为最不利点处喷头与消防水池的最低水位或系统入口管水平中心线之间的高程差，当系统入口管或消防水池最低水位高于最不利点处喷头时，Z应取负值（Mpa）。</w:t>
      </w:r>
    </w:p>
    <w:p w14:paraId="5C1DF3EE">
      <w:pPr>
        <w:pageBreakBefore w:val="0"/>
        <w:kinsoku/>
        <w:wordWrap w:val="0"/>
        <w:overflowPunct w:val="0"/>
        <w:topLinePunct w:val="0"/>
        <w:bidi w:val="0"/>
        <w:snapToGrid/>
        <w:ind w:firstLine="560"/>
        <w:textAlignment w:val="auto"/>
        <w:rPr>
          <w:rFonts w:hint="eastAsia" w:ascii="宋体" w:hAnsi="宋体" w:cs="宋体"/>
          <w:bCs/>
          <w:color w:val="000000"/>
          <w:sz w:val="28"/>
          <w:szCs w:val="28"/>
        </w:rPr>
      </w:pPr>
      <w:r>
        <w:rPr>
          <w:rFonts w:hint="eastAsia" w:hAnsi="Cambria Math" w:cs="宋体"/>
          <w:b w:val="0"/>
          <w:bCs/>
          <w:color w:val="000000"/>
          <w:sz w:val="28"/>
          <w:szCs w:val="28"/>
        </w:rPr>
        <w:t>案例：</w:t>
      </w:r>
      <w:r>
        <w:rPr>
          <w:rFonts w:hint="eastAsia" w:hAnsi="Cambria Math" w:cs="宋体"/>
          <w:bCs/>
          <w:color w:val="000000"/>
          <w:sz w:val="28"/>
          <w:szCs w:val="28"/>
        </w:rPr>
        <w:t>某站消防水池位于地面，消防</w:t>
      </w:r>
      <w:r>
        <w:rPr>
          <w:rFonts w:hint="eastAsia" w:hAnsi="Cambria Math" w:cs="宋体"/>
          <w:bCs/>
          <w:color w:val="000000"/>
          <w:sz w:val="28"/>
          <w:szCs w:val="28"/>
          <w:lang w:val="en-US" w:eastAsia="zh-CN"/>
        </w:rPr>
        <w:t>水</w:t>
      </w:r>
      <w:r>
        <w:rPr>
          <w:rFonts w:hint="eastAsia" w:hAnsi="Cambria Math" w:cs="宋体"/>
          <w:bCs/>
          <w:color w:val="000000"/>
          <w:sz w:val="28"/>
          <w:szCs w:val="28"/>
        </w:rPr>
        <w:t>泵房位于</w:t>
      </w:r>
      <w:r>
        <w:rPr>
          <w:rFonts w:hint="eastAsia" w:hAnsi="Cambria Math" w:cs="宋体"/>
          <w:bCs/>
          <w:color w:val="000000"/>
          <w:sz w:val="28"/>
          <w:szCs w:val="28"/>
          <w:lang w:val="en-US" w:eastAsia="zh-CN"/>
        </w:rPr>
        <w:t>-</w:t>
      </w:r>
      <w:r>
        <w:rPr>
          <w:rFonts w:hint="eastAsia" w:hAnsi="Cambria Math" w:cs="宋体"/>
          <w:bCs/>
          <w:color w:val="000000"/>
          <w:sz w:val="28"/>
          <w:szCs w:val="28"/>
        </w:rPr>
        <w:t>40m，该站消火栓泵设计扬程为：H=1.2×0.1（总水头损失）+0.25(最不利点设施所需要消防压力）+0.4（泵房与最不利点处几何高差）=0.89MPa。</w:t>
      </w:r>
    </w:p>
    <w:p w14:paraId="5CBBDFDC">
      <w:pPr>
        <w:pageBreakBefore w:val="0"/>
        <w:kinsoku/>
        <w:wordWrap w:val="0"/>
        <w:topLinePunct w:val="0"/>
        <w:bidi w:val="0"/>
        <w:snapToGrid/>
        <w:jc w:val="left"/>
        <w:textAlignment w:val="auto"/>
        <w:rPr>
          <w:rFonts w:hint="eastAsia" w:ascii="宋体" w:hAnsi="宋体" w:cs="宋体"/>
          <w:b/>
          <w:bCs/>
          <w:spacing w:val="-4"/>
          <w:sz w:val="28"/>
          <w:szCs w:val="28"/>
        </w:rPr>
      </w:pPr>
      <w:r>
        <w:rPr>
          <w:rFonts w:hint="eastAsia" w:ascii="宋体" w:hAnsi="宋体" w:cs="宋体"/>
          <w:b/>
          <w:bCs/>
          <w:spacing w:val="-4"/>
          <w:sz w:val="28"/>
          <w:szCs w:val="28"/>
        </w:rPr>
        <w:br w:type="page"/>
      </w:r>
    </w:p>
    <w:p w14:paraId="1D57073B">
      <w:pPr>
        <w:pageBreakBefore w:val="0"/>
        <w:kinsoku/>
        <w:wordWrap w:val="0"/>
        <w:overflowPunct w:val="0"/>
        <w:topLinePunct w:val="0"/>
        <w:bidi w:val="0"/>
        <w:snapToGrid/>
        <w:jc w:val="center"/>
        <w:textAlignment w:val="auto"/>
        <w:outlineLvl w:val="0"/>
        <w:rPr>
          <w:rFonts w:ascii="方正黑体_GBK" w:hAnsi="Times New Roman" w:eastAsia="方正黑体_GBK" w:cs="Times New Roman"/>
          <w:sz w:val="32"/>
          <w:szCs w:val="32"/>
        </w:rPr>
      </w:pPr>
      <w:r>
        <w:rPr>
          <w:rFonts w:hint="eastAsia" w:ascii="方正黑体_GBK" w:hAnsi="Times New Roman" w:eastAsia="方正黑体_GBK" w:cs="Times New Roman"/>
          <w:sz w:val="32"/>
          <w:szCs w:val="32"/>
        </w:rPr>
        <w:t>4 电气</w:t>
      </w:r>
    </w:p>
    <w:p w14:paraId="456F0777">
      <w:pPr>
        <w:pageBreakBefore w:val="0"/>
        <w:kinsoku/>
        <w:wordWrap w:val="0"/>
        <w:topLinePunct w:val="0"/>
        <w:bidi w:val="0"/>
        <w:snapToGrid/>
        <w:ind w:firstLine="560" w:firstLineChars="200"/>
        <w:jc w:val="left"/>
        <w:textAlignment w:val="auto"/>
        <w:rPr>
          <w:rFonts w:hint="eastAsia" w:ascii="宋体" w:hAnsi="宋体" w:cs="宋体"/>
        </w:rPr>
      </w:pPr>
      <w:r>
        <w:rPr>
          <w:rFonts w:hint="eastAsia" w:ascii="宋体" w:hAnsi="宋体" w:cs="宋体"/>
          <w:color w:val="000000"/>
          <w:sz w:val="28"/>
        </w:rPr>
        <w:t>4.0.1 电缆选择中未标明线缆燃烧性能的附加信息“燃烧滴落物/微粒等级、烟气毒性等级和腐蚀性等级”。</w:t>
      </w:r>
    </w:p>
    <w:p w14:paraId="5090CA76">
      <w:pPr>
        <w:pageBreakBefore w:val="0"/>
        <w:kinsoku/>
        <w:wordWrap w:val="0"/>
        <w:topLinePunct w:val="0"/>
        <w:bidi w:val="0"/>
        <w:snapToGrid/>
        <w:ind w:firstLine="562" w:firstLineChars="200"/>
        <w:textAlignment w:val="auto"/>
        <w:rPr>
          <w:rFonts w:hint="eastAsia" w:ascii="宋体" w:hAnsi="宋体" w:cs="宋体"/>
          <w:color w:val="000000"/>
          <w:sz w:val="28"/>
        </w:rPr>
      </w:pPr>
      <w:r>
        <w:rPr>
          <w:rFonts w:hint="eastAsia" w:ascii="宋体" w:hAnsi="宋体" w:cs="宋体"/>
          <w:b/>
          <w:color w:val="000000"/>
          <w:sz w:val="28"/>
        </w:rPr>
        <w:t>依据：</w:t>
      </w:r>
      <w:r>
        <w:rPr>
          <w:rFonts w:hint="eastAsia" w:ascii="宋体" w:hAnsi="宋体" w:cs="宋体"/>
          <w:color w:val="000000"/>
          <w:sz w:val="28"/>
        </w:rPr>
        <w:t>《电缆及光缆燃烧性能分级》</w:t>
      </w:r>
      <w:r>
        <w:rPr>
          <w:rFonts w:hint="eastAsia" w:ascii="宋体" w:hAnsi="宋体" w:cs="宋体"/>
          <w:color w:val="000000"/>
          <w:sz w:val="28"/>
          <w:lang w:eastAsia="zh-CN"/>
        </w:rPr>
        <w:t>（</w:t>
      </w:r>
      <w:r>
        <w:rPr>
          <w:rFonts w:hint="eastAsia" w:ascii="宋体" w:hAnsi="宋体" w:cs="宋体"/>
          <w:color w:val="000000"/>
          <w:sz w:val="28"/>
        </w:rPr>
        <w:t>GB31247-2014</w:t>
      </w:r>
      <w:r>
        <w:rPr>
          <w:rFonts w:hint="eastAsia" w:ascii="宋体" w:hAnsi="宋体" w:cs="宋体"/>
          <w:color w:val="000000"/>
          <w:sz w:val="28"/>
          <w:lang w:eastAsia="zh-CN"/>
        </w:rPr>
        <w:t>）</w:t>
      </w:r>
      <w:r>
        <w:rPr>
          <w:rFonts w:hint="eastAsia" w:ascii="宋体" w:hAnsi="宋体" w:cs="宋体"/>
          <w:color w:val="000000"/>
          <w:sz w:val="28"/>
        </w:rPr>
        <w:t>第5.1.1条</w:t>
      </w:r>
      <w:r>
        <w:rPr>
          <w:rFonts w:hint="eastAsia" w:ascii="宋体" w:hAnsi="宋体" w:cs="宋体"/>
          <w:color w:val="000000"/>
          <w:sz w:val="28"/>
          <w:lang w:eastAsia="zh-CN"/>
        </w:rPr>
        <w:t>，</w:t>
      </w:r>
      <w:r>
        <w:rPr>
          <w:rFonts w:hint="eastAsia" w:ascii="宋体" w:hAnsi="宋体" w:cs="宋体"/>
          <w:color w:val="000000"/>
          <w:sz w:val="28"/>
        </w:rPr>
        <w:t>电缆及光缆的燃烧性能等级附加信息包括燃烧滴落物/微粒等级、烟气毒性等级和腐蚀性等级。</w:t>
      </w:r>
    </w:p>
    <w:p w14:paraId="7A07CEE6">
      <w:pPr>
        <w:pageBreakBefore w:val="0"/>
        <w:kinsoku/>
        <w:wordWrap w:val="0"/>
        <w:topLinePunct w:val="0"/>
        <w:bidi w:val="0"/>
        <w:snapToGrid/>
        <w:ind w:firstLine="560" w:firstLineChars="200"/>
        <w:textAlignment w:val="auto"/>
        <w:rPr>
          <w:rFonts w:hint="eastAsia" w:ascii="宋体" w:hAnsi="宋体" w:cs="宋体"/>
          <w:color w:val="000000"/>
          <w:sz w:val="28"/>
        </w:rPr>
      </w:pPr>
    </w:p>
    <w:p w14:paraId="7690ECFE">
      <w:pPr>
        <w:pageBreakBefore w:val="0"/>
        <w:kinsoku/>
        <w:wordWrap w:val="0"/>
        <w:topLinePunct w:val="0"/>
        <w:bidi w:val="0"/>
        <w:snapToGrid/>
        <w:ind w:firstLine="560" w:firstLineChars="200"/>
        <w:textAlignment w:val="auto"/>
        <w:rPr>
          <w:rFonts w:hint="eastAsia" w:ascii="宋体" w:hAnsi="宋体" w:cs="宋体"/>
        </w:rPr>
      </w:pPr>
      <w:r>
        <w:rPr>
          <w:rFonts w:hint="eastAsia" w:ascii="宋体" w:hAnsi="宋体" w:cs="宋体"/>
          <w:color w:val="000000"/>
          <w:sz w:val="28"/>
        </w:rPr>
        <w:t>4.0.2 未明确消防应急照明和疏散指示系统集中电源蓄电池达到使用寿命周期后标称的剩余容量放电时间。</w:t>
      </w:r>
    </w:p>
    <w:p w14:paraId="63664435">
      <w:pPr>
        <w:pageBreakBefore w:val="0"/>
        <w:kinsoku/>
        <w:wordWrap w:val="0"/>
        <w:topLinePunct w:val="0"/>
        <w:bidi w:val="0"/>
        <w:snapToGrid/>
        <w:ind w:firstLine="562" w:firstLineChars="200"/>
        <w:textAlignment w:val="auto"/>
        <w:rPr>
          <w:rFonts w:hint="eastAsia" w:ascii="宋体" w:hAnsi="宋体" w:cs="宋体"/>
          <w:color w:val="000000"/>
          <w:sz w:val="28"/>
        </w:rPr>
      </w:pPr>
      <w:r>
        <w:rPr>
          <w:rFonts w:hint="eastAsia" w:ascii="宋体" w:hAnsi="宋体" w:cs="宋体"/>
          <w:b/>
          <w:color w:val="000000"/>
          <w:sz w:val="28"/>
        </w:rPr>
        <w:t>依据：</w:t>
      </w:r>
      <w:r>
        <w:rPr>
          <w:rFonts w:hint="eastAsia" w:ascii="宋体" w:hAnsi="宋体" w:cs="宋体"/>
          <w:color w:val="000000"/>
          <w:sz w:val="28"/>
        </w:rPr>
        <w:t>《消防应急照明和疏散指示系统技术标准》</w:t>
      </w:r>
      <w:r>
        <w:rPr>
          <w:rFonts w:hint="eastAsia" w:ascii="宋体" w:hAnsi="宋体" w:cs="宋体"/>
          <w:color w:val="000000"/>
          <w:sz w:val="28"/>
          <w:lang w:eastAsia="zh-CN"/>
        </w:rPr>
        <w:t>（</w:t>
      </w:r>
      <w:r>
        <w:rPr>
          <w:rFonts w:hint="eastAsia" w:ascii="宋体" w:hAnsi="宋体" w:cs="宋体"/>
          <w:color w:val="000000"/>
          <w:sz w:val="28"/>
        </w:rPr>
        <w:t>GB51309-2018</w:t>
      </w:r>
      <w:r>
        <w:rPr>
          <w:rFonts w:hint="eastAsia" w:ascii="宋体" w:hAnsi="宋体" w:cs="宋体"/>
          <w:color w:val="000000"/>
          <w:sz w:val="28"/>
          <w:lang w:eastAsia="zh-CN"/>
        </w:rPr>
        <w:t>）</w:t>
      </w:r>
      <w:r>
        <w:rPr>
          <w:rFonts w:hint="eastAsia" w:ascii="宋体" w:hAnsi="宋体" w:cs="宋体"/>
          <w:color w:val="000000"/>
          <w:sz w:val="28"/>
        </w:rPr>
        <w:t>第3.2.4条第6款</w:t>
      </w:r>
      <w:r>
        <w:rPr>
          <w:rFonts w:hint="eastAsia" w:ascii="宋体" w:hAnsi="宋体" w:cs="宋体"/>
          <w:color w:val="000000"/>
          <w:sz w:val="28"/>
          <w:lang w:eastAsia="zh-CN"/>
        </w:rPr>
        <w:t>，</w:t>
      </w:r>
      <w:r>
        <w:rPr>
          <w:rFonts w:hint="eastAsia" w:ascii="宋体" w:hAnsi="宋体" w:cs="宋体"/>
          <w:color w:val="000000"/>
          <w:sz w:val="28"/>
        </w:rPr>
        <w:t>集中电源的蓄电池组和灯具自带蓄电池达到使用寿命周期后标称的剩余容量应保证放电时间满足本条第1款～第5款规定的持续工作时间</w:t>
      </w:r>
      <w:r>
        <w:rPr>
          <w:rFonts w:hint="eastAsia" w:ascii="宋体" w:hAnsi="宋体" w:cs="宋体"/>
          <w:color w:val="000000"/>
          <w:sz w:val="28"/>
          <w:lang w:eastAsia="zh-CN"/>
        </w:rPr>
        <w:t>；</w:t>
      </w:r>
      <w:r>
        <w:rPr>
          <w:rFonts w:hint="eastAsia" w:ascii="宋体" w:hAnsi="宋体" w:cs="宋体"/>
          <w:color w:val="000000"/>
          <w:sz w:val="28"/>
        </w:rPr>
        <w:t>《消防应急照明和疏散指示系统技术标准》</w:t>
      </w:r>
      <w:r>
        <w:rPr>
          <w:rFonts w:hint="eastAsia" w:ascii="宋体" w:hAnsi="宋体" w:cs="宋体"/>
          <w:color w:val="000000"/>
          <w:sz w:val="28"/>
          <w:lang w:eastAsia="zh-CN"/>
        </w:rPr>
        <w:t>（</w:t>
      </w:r>
      <w:r>
        <w:rPr>
          <w:rFonts w:hint="eastAsia" w:ascii="宋体" w:hAnsi="宋体" w:cs="宋体"/>
          <w:color w:val="000000"/>
          <w:sz w:val="28"/>
        </w:rPr>
        <w:t>GB51309-2018</w:t>
      </w:r>
      <w:r>
        <w:rPr>
          <w:rFonts w:hint="eastAsia" w:ascii="宋体" w:hAnsi="宋体" w:cs="宋体"/>
          <w:color w:val="000000"/>
          <w:sz w:val="28"/>
          <w:lang w:eastAsia="zh-CN"/>
        </w:rPr>
        <w:t>）</w:t>
      </w:r>
      <w:r>
        <w:rPr>
          <w:rFonts w:hint="eastAsia" w:ascii="宋体" w:hAnsi="宋体" w:cs="宋体"/>
          <w:color w:val="000000"/>
          <w:sz w:val="28"/>
        </w:rPr>
        <w:t>第3.6.6条第1款</w:t>
      </w:r>
      <w:r>
        <w:rPr>
          <w:rFonts w:hint="eastAsia" w:ascii="宋体" w:hAnsi="宋体" w:cs="宋体"/>
          <w:color w:val="000000"/>
          <w:sz w:val="28"/>
          <w:lang w:eastAsia="zh-CN"/>
        </w:rPr>
        <w:t>，</w:t>
      </w:r>
      <w:r>
        <w:rPr>
          <w:rFonts w:hint="eastAsia" w:ascii="宋体" w:hAnsi="宋体" w:cs="宋体"/>
          <w:color w:val="000000"/>
          <w:sz w:val="28"/>
        </w:rPr>
        <w:t>集中电源或应急照明配电箱应连锁控制其配接的非持续型照明灯的光源应急点亮、持续型灯具的光源由节电点亮模式转入应急点亮模式；灯具持续应急点亮时间应符合设计文件的规定，且不应超过0.5h。</w:t>
      </w:r>
    </w:p>
    <w:p w14:paraId="6232B0BA">
      <w:pPr>
        <w:pageBreakBefore w:val="0"/>
        <w:kinsoku/>
        <w:wordWrap w:val="0"/>
        <w:topLinePunct w:val="0"/>
        <w:bidi w:val="0"/>
        <w:snapToGrid/>
        <w:ind w:firstLine="560" w:firstLineChars="200"/>
        <w:textAlignment w:val="auto"/>
        <w:rPr>
          <w:rFonts w:hint="eastAsia" w:ascii="宋体" w:hAnsi="宋体" w:cs="宋体"/>
          <w:color w:val="000000"/>
          <w:sz w:val="28"/>
        </w:rPr>
      </w:pPr>
    </w:p>
    <w:p w14:paraId="24284204">
      <w:pPr>
        <w:pageBreakBefore w:val="0"/>
        <w:kinsoku/>
        <w:wordWrap w:val="0"/>
        <w:topLinePunct w:val="0"/>
        <w:bidi w:val="0"/>
        <w:snapToGrid/>
        <w:ind w:firstLine="560" w:firstLineChars="200"/>
        <w:textAlignment w:val="auto"/>
        <w:rPr>
          <w:rFonts w:hint="eastAsia" w:ascii="宋体" w:hAnsi="宋体" w:cs="宋体"/>
        </w:rPr>
      </w:pPr>
      <w:r>
        <w:rPr>
          <w:rFonts w:hint="eastAsia" w:ascii="宋体" w:hAnsi="宋体" w:cs="宋体"/>
          <w:color w:val="000000"/>
          <w:sz w:val="28"/>
        </w:rPr>
        <w:t>4.0.3 设计说明未明确应急照明线路暗敷设时应采用热镀锌金属管的要求。</w:t>
      </w:r>
    </w:p>
    <w:p w14:paraId="5918D485">
      <w:pPr>
        <w:pageBreakBefore w:val="0"/>
        <w:kinsoku/>
        <w:wordWrap w:val="0"/>
        <w:topLinePunct w:val="0"/>
        <w:bidi w:val="0"/>
        <w:snapToGrid/>
        <w:ind w:firstLine="562" w:firstLineChars="200"/>
        <w:textAlignment w:val="auto"/>
        <w:rPr>
          <w:rFonts w:hint="eastAsia" w:ascii="宋体" w:hAnsi="宋体" w:cs="宋体"/>
          <w:color w:val="000000"/>
          <w:sz w:val="28"/>
        </w:rPr>
      </w:pPr>
      <w:r>
        <w:rPr>
          <w:rFonts w:hint="eastAsia" w:ascii="宋体" w:hAnsi="宋体" w:cs="宋体"/>
          <w:b/>
          <w:color w:val="000000"/>
          <w:sz w:val="28"/>
        </w:rPr>
        <w:t>依据：</w:t>
      </w:r>
      <w:r>
        <w:rPr>
          <w:rFonts w:hint="eastAsia" w:ascii="宋体" w:hAnsi="宋体" w:cs="宋体"/>
          <w:color w:val="000000"/>
          <w:sz w:val="28"/>
        </w:rPr>
        <w:t>《民用建筑电气设计标准》</w:t>
      </w:r>
      <w:r>
        <w:rPr>
          <w:rFonts w:hint="eastAsia" w:ascii="宋体" w:hAnsi="宋体" w:cs="宋体"/>
          <w:color w:val="000000"/>
          <w:sz w:val="28"/>
          <w:lang w:eastAsia="zh-CN"/>
        </w:rPr>
        <w:t>（</w:t>
      </w:r>
      <w:r>
        <w:rPr>
          <w:rFonts w:hint="eastAsia" w:ascii="宋体" w:hAnsi="宋体" w:cs="宋体"/>
          <w:color w:val="000000"/>
          <w:sz w:val="28"/>
        </w:rPr>
        <w:t>GB51348-2019</w:t>
      </w:r>
      <w:r>
        <w:rPr>
          <w:rFonts w:hint="eastAsia" w:ascii="宋体" w:hAnsi="宋体" w:cs="宋体"/>
          <w:color w:val="000000"/>
          <w:sz w:val="28"/>
          <w:lang w:eastAsia="zh-CN"/>
        </w:rPr>
        <w:t>）</w:t>
      </w:r>
      <w:r>
        <w:rPr>
          <w:rFonts w:hint="eastAsia" w:ascii="宋体" w:hAnsi="宋体" w:cs="宋体"/>
          <w:color w:val="000000"/>
          <w:sz w:val="28"/>
        </w:rPr>
        <w:t>第13.6.3条</w:t>
      </w:r>
      <w:r>
        <w:rPr>
          <w:rFonts w:hint="eastAsia" w:ascii="宋体" w:hAnsi="宋体" w:cs="宋体"/>
          <w:color w:val="000000"/>
          <w:sz w:val="28"/>
          <w:lang w:eastAsia="zh-CN"/>
        </w:rPr>
        <w:t>，</w:t>
      </w:r>
      <w:r>
        <w:rPr>
          <w:rFonts w:hint="eastAsia" w:ascii="宋体" w:hAnsi="宋体" w:cs="宋体"/>
          <w:color w:val="000000"/>
          <w:sz w:val="28"/>
        </w:rPr>
        <w:t>消防应急疏散照明系统的配电线路应穿热镀锌金属管保护敷设在不燃烧体内，在吊顶内敷设的线路应采用耐火导线穿采取防火措施的金属导管保护。</w:t>
      </w:r>
    </w:p>
    <w:p w14:paraId="1610B521">
      <w:pPr>
        <w:pageBreakBefore w:val="0"/>
        <w:kinsoku/>
        <w:wordWrap w:val="0"/>
        <w:topLinePunct w:val="0"/>
        <w:bidi w:val="0"/>
        <w:snapToGrid/>
        <w:ind w:firstLine="560" w:firstLineChars="200"/>
        <w:textAlignment w:val="auto"/>
        <w:rPr>
          <w:rFonts w:hint="eastAsia" w:ascii="宋体" w:hAnsi="宋体" w:cs="宋体"/>
          <w:color w:val="000000"/>
          <w:sz w:val="28"/>
        </w:rPr>
      </w:pPr>
    </w:p>
    <w:p w14:paraId="2D12F4A0">
      <w:pPr>
        <w:pageBreakBefore w:val="0"/>
        <w:kinsoku/>
        <w:wordWrap w:val="0"/>
        <w:topLinePunct w:val="0"/>
        <w:bidi w:val="0"/>
        <w:snapToGrid/>
        <w:ind w:firstLine="560" w:firstLineChars="200"/>
        <w:textAlignment w:val="auto"/>
        <w:rPr>
          <w:rFonts w:hint="eastAsia" w:ascii="宋体" w:hAnsi="宋体" w:cs="宋体"/>
        </w:rPr>
      </w:pPr>
      <w:r>
        <w:rPr>
          <w:rFonts w:hint="eastAsia" w:ascii="宋体" w:hAnsi="宋体" w:cs="宋体"/>
          <w:color w:val="000000"/>
          <w:sz w:val="28"/>
        </w:rPr>
        <w:t>4.0.4 设计说明未明确消防负荷的供电回路，过负荷保护应作用于信号报警，不应切断电源。</w:t>
      </w:r>
    </w:p>
    <w:p w14:paraId="0D7DA582">
      <w:pPr>
        <w:pageBreakBefore w:val="0"/>
        <w:kinsoku/>
        <w:wordWrap w:val="0"/>
        <w:topLinePunct w:val="0"/>
        <w:bidi w:val="0"/>
        <w:snapToGrid/>
        <w:ind w:firstLine="562" w:firstLineChars="200"/>
        <w:textAlignment w:val="auto"/>
        <w:rPr>
          <w:rFonts w:hint="eastAsia" w:ascii="宋体" w:hAnsi="宋体" w:cs="宋体"/>
          <w:color w:val="000000"/>
          <w:sz w:val="28"/>
        </w:rPr>
      </w:pPr>
      <w:r>
        <w:rPr>
          <w:rFonts w:hint="eastAsia" w:ascii="宋体" w:hAnsi="宋体" w:cs="宋体"/>
          <w:b/>
          <w:color w:val="000000"/>
          <w:sz w:val="28"/>
        </w:rPr>
        <w:t>依据：</w:t>
      </w:r>
      <w:r>
        <w:rPr>
          <w:rFonts w:hint="eastAsia" w:ascii="宋体" w:hAnsi="宋体" w:cs="宋体"/>
          <w:color w:val="000000"/>
          <w:sz w:val="28"/>
        </w:rPr>
        <w:t>《建筑电气与智能化通用规范》</w:t>
      </w:r>
      <w:r>
        <w:rPr>
          <w:rFonts w:hint="eastAsia" w:ascii="宋体" w:hAnsi="宋体" w:cs="宋体"/>
          <w:color w:val="000000"/>
          <w:sz w:val="28"/>
          <w:lang w:eastAsia="zh-CN"/>
        </w:rPr>
        <w:t>（</w:t>
      </w:r>
      <w:r>
        <w:rPr>
          <w:rFonts w:hint="eastAsia" w:ascii="宋体" w:hAnsi="宋体" w:cs="宋体"/>
          <w:color w:val="000000"/>
          <w:sz w:val="28"/>
        </w:rPr>
        <w:t>GB55024-2022</w:t>
      </w:r>
      <w:r>
        <w:rPr>
          <w:rFonts w:hint="eastAsia" w:ascii="宋体" w:hAnsi="宋体" w:cs="宋体"/>
          <w:color w:val="000000"/>
          <w:sz w:val="28"/>
          <w:lang w:eastAsia="zh-CN"/>
        </w:rPr>
        <w:t>）</w:t>
      </w:r>
      <w:r>
        <w:rPr>
          <w:rFonts w:hint="eastAsia" w:ascii="宋体" w:hAnsi="宋体" w:cs="宋体"/>
          <w:color w:val="000000"/>
          <w:sz w:val="28"/>
        </w:rPr>
        <w:t>第4.3.7条</w:t>
      </w:r>
      <w:r>
        <w:rPr>
          <w:rFonts w:hint="eastAsia" w:ascii="宋体" w:hAnsi="宋体" w:cs="宋体"/>
          <w:color w:val="000000"/>
          <w:sz w:val="28"/>
          <w:lang w:eastAsia="zh-CN"/>
        </w:rPr>
        <w:t>，</w:t>
      </w:r>
      <w:r>
        <w:rPr>
          <w:rFonts w:hint="eastAsia" w:ascii="宋体" w:hAnsi="宋体" w:cs="宋体"/>
          <w:color w:val="000000"/>
          <w:sz w:val="28"/>
        </w:rPr>
        <w:t>对于因过负荷引起断电而造成更大损失的供电回路，过负荷保护应作用于信号报警，不应切断电源。</w:t>
      </w:r>
    </w:p>
    <w:p w14:paraId="3C8ADE2D">
      <w:pPr>
        <w:pageBreakBefore w:val="0"/>
        <w:kinsoku/>
        <w:wordWrap w:val="0"/>
        <w:topLinePunct w:val="0"/>
        <w:bidi w:val="0"/>
        <w:snapToGrid/>
        <w:jc w:val="center"/>
        <w:textAlignment w:val="auto"/>
        <w:rPr>
          <w:rFonts w:hint="eastAsia" w:ascii="宋体" w:hAnsi="宋体" w:cs="宋体"/>
        </w:rPr>
      </w:pPr>
    </w:p>
    <w:p w14:paraId="61EBFF1B">
      <w:pPr>
        <w:pageBreakBefore w:val="0"/>
        <w:kinsoku/>
        <w:wordWrap w:val="0"/>
        <w:topLinePunct w:val="0"/>
        <w:bidi w:val="0"/>
        <w:snapToGrid/>
        <w:ind w:firstLine="560" w:firstLineChars="200"/>
        <w:textAlignment w:val="auto"/>
        <w:rPr>
          <w:rFonts w:hint="eastAsia" w:ascii="宋体" w:hAnsi="宋体" w:cs="宋体"/>
        </w:rPr>
      </w:pPr>
      <w:r>
        <w:rPr>
          <w:rFonts w:hint="eastAsia" w:ascii="宋体" w:hAnsi="宋体" w:cs="宋体"/>
          <w:color w:val="000000"/>
          <w:sz w:val="28"/>
        </w:rPr>
        <w:t>4.0.</w:t>
      </w:r>
      <w:r>
        <w:rPr>
          <w:rFonts w:hint="eastAsia" w:ascii="宋体" w:hAnsi="宋体" w:cs="宋体"/>
          <w:color w:val="000000"/>
          <w:sz w:val="28"/>
          <w:lang w:val="en-US" w:eastAsia="zh-CN"/>
        </w:rPr>
        <w:t>5</w:t>
      </w:r>
      <w:r>
        <w:rPr>
          <w:rFonts w:hint="eastAsia" w:ascii="宋体" w:hAnsi="宋体" w:cs="宋体"/>
          <w:color w:val="000000"/>
          <w:sz w:val="28"/>
        </w:rPr>
        <w:t xml:space="preserve"> 设计说明未明确消防设施上或附近应设置区别于环境的明显标识；手动操作按钮等装置处应采取防止误操作或被损坏的防护措施。</w:t>
      </w:r>
    </w:p>
    <w:p w14:paraId="4376653D">
      <w:pPr>
        <w:pageBreakBefore w:val="0"/>
        <w:kinsoku/>
        <w:wordWrap w:val="0"/>
        <w:topLinePunct w:val="0"/>
        <w:bidi w:val="0"/>
        <w:snapToGrid/>
        <w:ind w:firstLine="562" w:firstLineChars="200"/>
        <w:textAlignment w:val="auto"/>
        <w:rPr>
          <w:rFonts w:hint="eastAsia" w:ascii="宋体" w:hAnsi="宋体" w:cs="宋体"/>
        </w:rPr>
      </w:pPr>
      <w:r>
        <w:rPr>
          <w:rFonts w:hint="eastAsia" w:ascii="宋体" w:hAnsi="宋体" w:cs="宋体"/>
          <w:b/>
          <w:color w:val="000000"/>
          <w:sz w:val="28"/>
        </w:rPr>
        <w:t>依据：</w:t>
      </w:r>
      <w:r>
        <w:rPr>
          <w:rFonts w:hint="eastAsia" w:ascii="宋体" w:hAnsi="宋体" w:cs="宋体"/>
          <w:color w:val="000000"/>
          <w:sz w:val="28"/>
        </w:rPr>
        <w:t>《消防设施通用规范》</w:t>
      </w:r>
      <w:r>
        <w:rPr>
          <w:rFonts w:hint="eastAsia" w:ascii="宋体" w:hAnsi="宋体" w:cs="宋体"/>
          <w:color w:val="000000"/>
          <w:sz w:val="28"/>
          <w:lang w:eastAsia="zh-CN"/>
        </w:rPr>
        <w:t>（</w:t>
      </w:r>
      <w:r>
        <w:rPr>
          <w:rFonts w:hint="eastAsia" w:ascii="宋体" w:hAnsi="宋体" w:cs="宋体"/>
          <w:color w:val="000000"/>
          <w:sz w:val="28"/>
        </w:rPr>
        <w:t>GB55036-2022</w:t>
      </w:r>
      <w:r>
        <w:rPr>
          <w:rFonts w:hint="eastAsia" w:ascii="宋体" w:hAnsi="宋体" w:cs="宋体"/>
          <w:color w:val="000000"/>
          <w:sz w:val="28"/>
          <w:lang w:eastAsia="zh-CN"/>
        </w:rPr>
        <w:t>）</w:t>
      </w:r>
      <w:r>
        <w:rPr>
          <w:rFonts w:hint="eastAsia" w:ascii="宋体" w:hAnsi="宋体" w:cs="宋体"/>
          <w:color w:val="000000"/>
          <w:sz w:val="28"/>
        </w:rPr>
        <w:t>第2.0.10条</w:t>
      </w:r>
      <w:r>
        <w:rPr>
          <w:rFonts w:hint="eastAsia" w:ascii="宋体" w:hAnsi="宋体" w:cs="宋体"/>
          <w:color w:val="000000"/>
          <w:sz w:val="28"/>
          <w:lang w:eastAsia="zh-CN"/>
        </w:rPr>
        <w:t>，</w:t>
      </w:r>
      <w:r>
        <w:rPr>
          <w:rFonts w:hint="eastAsia" w:ascii="宋体" w:hAnsi="宋体" w:cs="宋体"/>
          <w:color w:val="000000"/>
          <w:sz w:val="28"/>
        </w:rPr>
        <w:t>消防设施上或附近应设置区别于环境的明显标识，说明文字应准确、清楚且易于识别，颜色、符号或标志应规范。手动操作按钮等装置处应采取防止误操作或被损坏的防护措施。</w:t>
      </w:r>
    </w:p>
    <w:p w14:paraId="39EE3CD3">
      <w:pPr>
        <w:pageBreakBefore w:val="0"/>
        <w:kinsoku/>
        <w:wordWrap w:val="0"/>
        <w:topLinePunct w:val="0"/>
        <w:bidi w:val="0"/>
        <w:snapToGrid/>
        <w:ind w:firstLine="560" w:firstLineChars="200"/>
        <w:textAlignment w:val="auto"/>
        <w:rPr>
          <w:rFonts w:hint="eastAsia" w:ascii="宋体" w:hAnsi="宋体" w:cs="宋体"/>
          <w:color w:val="000000"/>
          <w:sz w:val="28"/>
        </w:rPr>
      </w:pPr>
      <w:r>
        <w:rPr>
          <w:rFonts w:hint="eastAsia" w:ascii="宋体" w:hAnsi="宋体" w:cs="宋体"/>
          <w:color w:val="000000"/>
          <w:sz w:val="28"/>
        </w:rPr>
        <w:t>案例：某消防</w:t>
      </w:r>
      <w:r>
        <w:rPr>
          <w:rFonts w:hint="eastAsia" w:ascii="宋体" w:hAnsi="宋体" w:cs="宋体"/>
          <w:color w:val="000000"/>
          <w:sz w:val="28"/>
          <w:lang w:val="en-US" w:eastAsia="zh-CN"/>
        </w:rPr>
        <w:t>水</w:t>
      </w:r>
      <w:r>
        <w:rPr>
          <w:rFonts w:hint="eastAsia" w:ascii="宋体" w:hAnsi="宋体" w:cs="宋体"/>
          <w:color w:val="000000"/>
          <w:sz w:val="28"/>
        </w:rPr>
        <w:t>泵房内消防控制柜无明显标识和有明显标识对比</w:t>
      </w:r>
    </w:p>
    <w:p w14:paraId="32B7978E">
      <w:pPr>
        <w:pageBreakBefore w:val="0"/>
        <w:kinsoku/>
        <w:wordWrap w:val="0"/>
        <w:topLinePunct w:val="0"/>
        <w:bidi w:val="0"/>
        <w:snapToGrid/>
        <w:ind w:firstLine="420" w:firstLineChars="200"/>
        <w:textAlignment w:val="auto"/>
        <w:rPr>
          <w:rFonts w:hint="eastAsia" w:ascii="宋体" w:hAnsi="宋体" w:cs="宋体"/>
        </w:rPr>
      </w:pPr>
      <w:r>
        <w:rPr>
          <w:rFonts w:hint="eastAsia" w:ascii="宋体" w:hAnsi="宋体" w:cs="宋体"/>
        </w:rPr>
        <w:drawing>
          <wp:inline distT="0" distB="0" distL="0" distR="0">
            <wp:extent cx="1962150" cy="2943225"/>
            <wp:effectExtent l="0" t="0" r="6350" b="3175"/>
            <wp:docPr id="20" name="picture" descr="descript"/>
            <wp:cNvGraphicFramePr/>
            <a:graphic xmlns:a="http://schemas.openxmlformats.org/drawingml/2006/main">
              <a:graphicData uri="http://schemas.openxmlformats.org/drawingml/2006/picture">
                <pic:pic xmlns:pic="http://schemas.openxmlformats.org/drawingml/2006/picture">
                  <pic:nvPicPr>
                    <pic:cNvPr id="20" name="picture" descr="descript"/>
                    <pic:cNvPicPr/>
                  </pic:nvPicPr>
                  <pic:blipFill>
                    <a:blip r:embed="rId15"/>
                    <a:stretch>
                      <a:fillRect/>
                    </a:stretch>
                  </pic:blipFill>
                  <pic:spPr>
                    <a:xfrm>
                      <a:off x="0" y="0"/>
                      <a:ext cx="1962150" cy="2943225"/>
                    </a:xfrm>
                    <a:prstGeom prst="rect">
                      <a:avLst/>
                    </a:prstGeom>
                    <a:noFill/>
                    <a:ln w="9525" cap="flat" cmpd="sng">
                      <a:noFill/>
                      <a:prstDash val="solid"/>
                      <a:miter/>
                    </a:ln>
                  </pic:spPr>
                </pic:pic>
              </a:graphicData>
            </a:graphic>
          </wp:inline>
        </w:drawing>
      </w:r>
      <w:r>
        <w:rPr>
          <w:rFonts w:hint="eastAsia" w:ascii="宋体" w:hAnsi="宋体" w:cs="宋体"/>
        </w:rPr>
        <w:t xml:space="preserve">          </w:t>
      </w:r>
      <w:r>
        <w:rPr>
          <w:rFonts w:hint="eastAsia" w:ascii="宋体" w:hAnsi="宋体" w:cs="宋体"/>
        </w:rPr>
        <w:drawing>
          <wp:inline distT="0" distB="0" distL="0" distR="0">
            <wp:extent cx="2162175" cy="3009900"/>
            <wp:effectExtent l="0" t="0" r="9525" b="0"/>
            <wp:docPr id="21" name="picture" descr="descript"/>
            <wp:cNvGraphicFramePr/>
            <a:graphic xmlns:a="http://schemas.openxmlformats.org/drawingml/2006/main">
              <a:graphicData uri="http://schemas.openxmlformats.org/drawingml/2006/picture">
                <pic:pic xmlns:pic="http://schemas.openxmlformats.org/drawingml/2006/picture">
                  <pic:nvPicPr>
                    <pic:cNvPr id="21" name="picture" descr="descript"/>
                    <pic:cNvPicPr/>
                  </pic:nvPicPr>
                  <pic:blipFill>
                    <a:blip r:embed="rId16"/>
                    <a:stretch>
                      <a:fillRect/>
                    </a:stretch>
                  </pic:blipFill>
                  <pic:spPr>
                    <a:xfrm>
                      <a:off x="0" y="0"/>
                      <a:ext cx="2162175" cy="3009900"/>
                    </a:xfrm>
                    <a:prstGeom prst="rect">
                      <a:avLst/>
                    </a:prstGeom>
                    <a:noFill/>
                    <a:ln w="9525" cap="flat" cmpd="sng">
                      <a:noFill/>
                      <a:prstDash val="solid"/>
                      <a:miter/>
                    </a:ln>
                  </pic:spPr>
                </pic:pic>
              </a:graphicData>
            </a:graphic>
          </wp:inline>
        </w:drawing>
      </w:r>
    </w:p>
    <w:p w14:paraId="49D4741F">
      <w:pPr>
        <w:pageBreakBefore w:val="0"/>
        <w:kinsoku/>
        <w:wordWrap w:val="0"/>
        <w:topLinePunct w:val="0"/>
        <w:bidi w:val="0"/>
        <w:snapToGrid/>
        <w:jc w:val="center"/>
        <w:textAlignment w:val="auto"/>
        <w:rPr>
          <w:rFonts w:hint="eastAsia" w:ascii="宋体" w:hAnsi="宋体" w:cs="宋体"/>
        </w:rPr>
      </w:pPr>
      <w:r>
        <w:rPr>
          <w:rFonts w:hint="eastAsia" w:ascii="宋体" w:hAnsi="宋体" w:cs="宋体"/>
          <w:color w:val="000000"/>
          <w:sz w:val="28"/>
        </w:rPr>
        <w:t xml:space="preserve"> 无标识    </w:t>
      </w:r>
      <w:r>
        <w:rPr>
          <w:rFonts w:hint="eastAsia" w:ascii="宋体" w:hAnsi="宋体" w:cs="宋体"/>
          <w:color w:val="000000"/>
          <w:sz w:val="28"/>
          <w:lang w:val="en-US" w:eastAsia="zh-CN"/>
        </w:rPr>
        <w:t xml:space="preserve">     </w:t>
      </w:r>
      <w:r>
        <w:rPr>
          <w:rFonts w:hint="eastAsia" w:ascii="宋体" w:hAnsi="宋体" w:cs="宋体"/>
          <w:color w:val="000000"/>
          <w:sz w:val="28"/>
        </w:rPr>
        <w:t xml:space="preserve">                有标识</w:t>
      </w:r>
    </w:p>
    <w:p w14:paraId="220D97B0">
      <w:pPr>
        <w:pageBreakBefore w:val="0"/>
        <w:kinsoku/>
        <w:wordWrap w:val="0"/>
        <w:topLinePunct w:val="0"/>
        <w:bidi w:val="0"/>
        <w:snapToGrid/>
        <w:ind w:firstLine="560" w:firstLineChars="200"/>
        <w:textAlignment w:val="auto"/>
        <w:rPr>
          <w:rFonts w:hint="eastAsia" w:ascii="宋体" w:hAnsi="宋体" w:cs="宋体"/>
          <w:color w:val="000000"/>
          <w:sz w:val="28"/>
        </w:rPr>
      </w:pPr>
    </w:p>
    <w:p w14:paraId="7CA85126">
      <w:pPr>
        <w:pageBreakBefore w:val="0"/>
        <w:kinsoku/>
        <w:wordWrap w:val="0"/>
        <w:topLinePunct w:val="0"/>
        <w:bidi w:val="0"/>
        <w:snapToGrid/>
        <w:ind w:firstLine="560" w:firstLineChars="200"/>
        <w:textAlignment w:val="auto"/>
        <w:rPr>
          <w:rFonts w:hint="eastAsia" w:ascii="宋体" w:hAnsi="宋体" w:cs="宋体"/>
        </w:rPr>
      </w:pPr>
      <w:r>
        <w:rPr>
          <w:rFonts w:hint="eastAsia" w:ascii="宋体" w:hAnsi="宋体" w:cs="宋体"/>
          <w:color w:val="000000"/>
          <w:sz w:val="28"/>
        </w:rPr>
        <w:t>4.0.</w:t>
      </w:r>
      <w:r>
        <w:rPr>
          <w:rFonts w:hint="eastAsia" w:ascii="宋体" w:hAnsi="宋体" w:cs="宋体"/>
          <w:color w:val="000000"/>
          <w:sz w:val="28"/>
          <w:lang w:val="en-US" w:eastAsia="zh-CN"/>
        </w:rPr>
        <w:t>6</w:t>
      </w:r>
      <w:r>
        <w:rPr>
          <w:rFonts w:hint="eastAsia" w:ascii="宋体" w:hAnsi="宋体" w:cs="宋体"/>
          <w:color w:val="000000"/>
          <w:sz w:val="28"/>
        </w:rPr>
        <w:t xml:space="preserve"> 应急照明控制器、集中电源、应急照明配电箱的安装未采用下出口进线方式。</w:t>
      </w:r>
    </w:p>
    <w:p w14:paraId="0FA80395">
      <w:pPr>
        <w:pageBreakBefore w:val="0"/>
        <w:kinsoku/>
        <w:wordWrap w:val="0"/>
        <w:topLinePunct w:val="0"/>
        <w:bidi w:val="0"/>
        <w:snapToGrid/>
        <w:ind w:firstLine="562" w:firstLineChars="200"/>
        <w:textAlignment w:val="auto"/>
        <w:rPr>
          <w:rFonts w:hint="eastAsia" w:ascii="宋体" w:hAnsi="宋体" w:cs="宋体"/>
        </w:rPr>
      </w:pPr>
      <w:r>
        <w:rPr>
          <w:rFonts w:hint="eastAsia" w:ascii="宋体" w:hAnsi="宋体" w:cs="宋体"/>
          <w:b/>
          <w:color w:val="000000"/>
          <w:sz w:val="28"/>
        </w:rPr>
        <w:t>依据：</w:t>
      </w:r>
      <w:r>
        <w:rPr>
          <w:rFonts w:hint="eastAsia" w:ascii="宋体" w:hAnsi="宋体" w:cs="宋体"/>
          <w:color w:val="000000"/>
          <w:sz w:val="28"/>
        </w:rPr>
        <w:t>《消防应急照明和疏散指示系统技术标准》</w:t>
      </w:r>
      <w:r>
        <w:rPr>
          <w:rFonts w:hint="eastAsia" w:ascii="宋体" w:hAnsi="宋体" w:cs="宋体"/>
          <w:color w:val="000000"/>
          <w:sz w:val="28"/>
          <w:lang w:eastAsia="zh-CN"/>
        </w:rPr>
        <w:t>（</w:t>
      </w:r>
      <w:r>
        <w:rPr>
          <w:rFonts w:hint="eastAsia" w:ascii="宋体" w:hAnsi="宋体" w:cs="宋体"/>
          <w:color w:val="000000"/>
          <w:sz w:val="28"/>
        </w:rPr>
        <w:t>GB51309-2018</w:t>
      </w:r>
      <w:r>
        <w:rPr>
          <w:rFonts w:hint="eastAsia" w:ascii="宋体" w:hAnsi="宋体" w:cs="宋体"/>
          <w:color w:val="000000"/>
          <w:sz w:val="28"/>
          <w:lang w:eastAsia="zh-CN"/>
        </w:rPr>
        <w:t>）</w:t>
      </w:r>
      <w:r>
        <w:rPr>
          <w:rFonts w:hint="eastAsia" w:ascii="宋体" w:hAnsi="宋体" w:cs="宋体"/>
          <w:color w:val="000000"/>
          <w:sz w:val="28"/>
        </w:rPr>
        <w:t>第4.4.1条</w:t>
      </w:r>
      <w:r>
        <w:rPr>
          <w:rFonts w:hint="eastAsia" w:ascii="宋体" w:hAnsi="宋体" w:cs="宋体"/>
          <w:color w:val="000000"/>
          <w:sz w:val="28"/>
          <w:lang w:val="en-US" w:eastAsia="zh-CN"/>
        </w:rPr>
        <w:t>第</w:t>
      </w:r>
      <w:r>
        <w:rPr>
          <w:rFonts w:hint="eastAsia" w:ascii="宋体" w:hAnsi="宋体" w:cs="宋体"/>
          <w:color w:val="000000"/>
          <w:sz w:val="28"/>
        </w:rPr>
        <w:t>4款</w:t>
      </w:r>
      <w:r>
        <w:rPr>
          <w:rFonts w:hint="eastAsia" w:ascii="宋体" w:hAnsi="宋体" w:cs="宋体"/>
          <w:color w:val="000000"/>
          <w:sz w:val="28"/>
          <w:lang w:eastAsia="zh-CN"/>
        </w:rPr>
        <w:t>，</w:t>
      </w:r>
      <w:r>
        <w:rPr>
          <w:rFonts w:hint="eastAsia" w:ascii="宋体" w:hAnsi="宋体" w:cs="宋体"/>
          <w:color w:val="000000"/>
          <w:sz w:val="28"/>
        </w:rPr>
        <w:t>设备在电气竖井内安装时，应采用下出口进线方式。</w:t>
      </w:r>
    </w:p>
    <w:p w14:paraId="6FAF58BA">
      <w:pPr>
        <w:pageBreakBefore w:val="0"/>
        <w:kinsoku/>
        <w:wordWrap w:val="0"/>
        <w:topLinePunct w:val="0"/>
        <w:bidi w:val="0"/>
        <w:snapToGrid/>
        <w:ind w:firstLine="560" w:firstLineChars="200"/>
        <w:textAlignment w:val="auto"/>
        <w:rPr>
          <w:rFonts w:hint="eastAsia" w:ascii="宋体" w:hAnsi="宋体" w:cs="宋体"/>
          <w:color w:val="000000"/>
          <w:sz w:val="28"/>
        </w:rPr>
      </w:pPr>
      <w:r>
        <w:rPr>
          <w:rFonts w:hint="eastAsia" w:ascii="宋体" w:hAnsi="宋体" w:cs="宋体"/>
          <w:color w:val="000000"/>
          <w:sz w:val="28"/>
          <w:lang w:val="en-US" w:eastAsia="zh-CN"/>
        </w:rPr>
        <w:t>案例</w:t>
      </w:r>
      <w:bookmarkStart w:id="4" w:name="_GoBack"/>
      <w:bookmarkEnd w:id="4"/>
      <w:r>
        <w:rPr>
          <w:rFonts w:hint="eastAsia" w:ascii="宋体" w:hAnsi="宋体" w:cs="宋体"/>
          <w:color w:val="000000"/>
          <w:sz w:val="28"/>
        </w:rPr>
        <w:t>：某照明配电室内集中电源箱出线采用上进上出的方式</w:t>
      </w:r>
      <w:r>
        <w:rPr>
          <w:rFonts w:hint="eastAsia" w:ascii="宋体" w:hAnsi="宋体" w:cs="宋体"/>
          <w:color w:val="000000"/>
          <w:sz w:val="28"/>
          <w:lang w:eastAsia="zh-CN"/>
        </w:rPr>
        <w:t>，不满足上述规范要求</w:t>
      </w:r>
      <w:r>
        <w:rPr>
          <w:rFonts w:hint="eastAsia" w:ascii="宋体" w:hAnsi="宋体" w:cs="宋体"/>
          <w:spacing w:val="-4"/>
          <w:sz w:val="28"/>
          <w:szCs w:val="28"/>
        </w:rPr>
        <w:t>。</w:t>
      </w:r>
    </w:p>
    <w:p w14:paraId="6799F98F">
      <w:pPr>
        <w:pageBreakBefore w:val="0"/>
        <w:kinsoku/>
        <w:wordWrap w:val="0"/>
        <w:topLinePunct w:val="0"/>
        <w:bidi w:val="0"/>
        <w:snapToGrid/>
        <w:ind w:firstLine="0" w:firstLineChars="0"/>
        <w:textAlignment w:val="auto"/>
        <w:rPr>
          <w:rFonts w:hint="eastAsia" w:ascii="宋体" w:hAnsi="宋体" w:cs="宋体"/>
        </w:rPr>
      </w:pPr>
      <w:r>
        <w:rPr>
          <w:rFonts w:hint="eastAsia" w:ascii="宋体" w:hAnsi="宋体" w:cs="宋体"/>
        </w:rPr>
        <w:drawing>
          <wp:inline distT="0" distB="0" distL="0" distR="0">
            <wp:extent cx="2286000" cy="2492375"/>
            <wp:effectExtent l="0" t="0" r="0" b="9525"/>
            <wp:docPr id="56" name="picture" descr="descript"/>
            <wp:cNvGraphicFramePr/>
            <a:graphic xmlns:a="http://schemas.openxmlformats.org/drawingml/2006/main">
              <a:graphicData uri="http://schemas.openxmlformats.org/drawingml/2006/picture">
                <pic:pic xmlns:pic="http://schemas.openxmlformats.org/drawingml/2006/picture">
                  <pic:nvPicPr>
                    <pic:cNvPr id="56" name="picture" descr="descript"/>
                    <pic:cNvPicPr/>
                  </pic:nvPicPr>
                  <pic:blipFill>
                    <a:blip r:embed="rId17"/>
                    <a:stretch>
                      <a:fillRect/>
                    </a:stretch>
                  </pic:blipFill>
                  <pic:spPr>
                    <a:xfrm>
                      <a:off x="0" y="0"/>
                      <a:ext cx="2286000" cy="2492375"/>
                    </a:xfrm>
                    <a:prstGeom prst="rect">
                      <a:avLst/>
                    </a:prstGeom>
                    <a:noFill/>
                    <a:ln w="9525" cap="flat" cmpd="sng">
                      <a:noFill/>
                      <a:prstDash val="solid"/>
                      <a:miter/>
                    </a:ln>
                  </pic:spPr>
                </pic:pic>
              </a:graphicData>
            </a:graphic>
          </wp:inline>
        </w:drawing>
      </w:r>
      <w:r>
        <w:rPr>
          <w:rFonts w:hint="eastAsia" w:ascii="宋体" w:hAnsi="宋体" w:cs="宋体"/>
        </w:rPr>
        <w:t xml:space="preserve">       </w:t>
      </w:r>
      <w:r>
        <w:rPr>
          <w:rFonts w:hint="eastAsia" w:ascii="宋体" w:hAnsi="宋体" w:cs="宋体"/>
        </w:rPr>
        <w:drawing>
          <wp:inline distT="0" distB="0" distL="0" distR="0">
            <wp:extent cx="2404110" cy="2458720"/>
            <wp:effectExtent l="0" t="0" r="8890" b="5080"/>
            <wp:docPr id="55" name="picture" descr="descript"/>
            <wp:cNvGraphicFramePr/>
            <a:graphic xmlns:a="http://schemas.openxmlformats.org/drawingml/2006/main">
              <a:graphicData uri="http://schemas.openxmlformats.org/drawingml/2006/picture">
                <pic:pic xmlns:pic="http://schemas.openxmlformats.org/drawingml/2006/picture">
                  <pic:nvPicPr>
                    <pic:cNvPr id="55" name="picture" descr="descript"/>
                    <pic:cNvPicPr/>
                  </pic:nvPicPr>
                  <pic:blipFill>
                    <a:blip r:embed="rId18"/>
                    <a:stretch>
                      <a:fillRect/>
                    </a:stretch>
                  </pic:blipFill>
                  <pic:spPr>
                    <a:xfrm>
                      <a:off x="0" y="0"/>
                      <a:ext cx="2404110" cy="2458720"/>
                    </a:xfrm>
                    <a:prstGeom prst="rect">
                      <a:avLst/>
                    </a:prstGeom>
                    <a:noFill/>
                    <a:ln w="9525" cap="flat" cmpd="sng">
                      <a:noFill/>
                      <a:prstDash val="solid"/>
                      <a:miter/>
                    </a:ln>
                  </pic:spPr>
                </pic:pic>
              </a:graphicData>
            </a:graphic>
          </wp:inline>
        </w:drawing>
      </w:r>
    </w:p>
    <w:p w14:paraId="0E109AFA">
      <w:pPr>
        <w:pageBreakBefore w:val="0"/>
        <w:kinsoku/>
        <w:wordWrap w:val="0"/>
        <w:topLinePunct w:val="0"/>
        <w:bidi w:val="0"/>
        <w:snapToGrid/>
        <w:textAlignment w:val="auto"/>
        <w:rPr>
          <w:rFonts w:hint="eastAsia" w:ascii="宋体" w:hAnsi="宋体" w:cs="宋体"/>
        </w:rPr>
      </w:pPr>
      <w:r>
        <w:rPr>
          <w:rFonts w:hint="eastAsia" w:ascii="宋体" w:hAnsi="宋体" w:cs="宋体"/>
          <w:color w:val="000000"/>
          <w:sz w:val="22"/>
        </w:rPr>
        <w:t xml:space="preserve">    </w:t>
      </w:r>
      <w:r>
        <w:rPr>
          <w:rFonts w:hint="eastAsia" w:ascii="宋体" w:hAnsi="宋体" w:cs="宋体"/>
          <w:color w:val="000000"/>
          <w:sz w:val="28"/>
        </w:rPr>
        <w:t xml:space="preserve">  上进上出（不满足）    </w:t>
      </w:r>
      <w:r>
        <w:rPr>
          <w:rFonts w:hint="eastAsia" w:ascii="宋体" w:hAnsi="宋体" w:cs="宋体"/>
          <w:color w:val="000000"/>
          <w:sz w:val="28"/>
          <w:lang w:val="en-US" w:eastAsia="zh-CN"/>
        </w:rPr>
        <w:t xml:space="preserve">   </w:t>
      </w:r>
      <w:r>
        <w:rPr>
          <w:rFonts w:hint="eastAsia" w:ascii="宋体" w:hAnsi="宋体" w:cs="宋体"/>
          <w:color w:val="000000"/>
          <w:sz w:val="28"/>
        </w:rPr>
        <w:t xml:space="preserve">      下进下出 （满足）</w:t>
      </w:r>
    </w:p>
    <w:p w14:paraId="6D9CE6A1">
      <w:pPr>
        <w:pageBreakBefore w:val="0"/>
        <w:kinsoku/>
        <w:wordWrap w:val="0"/>
        <w:topLinePunct w:val="0"/>
        <w:bidi w:val="0"/>
        <w:snapToGrid/>
        <w:ind w:firstLine="544" w:firstLineChars="200"/>
        <w:textAlignment w:val="auto"/>
        <w:rPr>
          <w:rFonts w:hint="eastAsia" w:ascii="宋体" w:hAnsi="宋体" w:cs="宋体"/>
          <w:color w:val="000000"/>
          <w:spacing w:val="-4"/>
          <w:sz w:val="28"/>
        </w:rPr>
      </w:pPr>
    </w:p>
    <w:p w14:paraId="5DA0E61D">
      <w:pPr>
        <w:pageBreakBefore w:val="0"/>
        <w:kinsoku/>
        <w:wordWrap w:val="0"/>
        <w:topLinePunct w:val="0"/>
        <w:bidi w:val="0"/>
        <w:snapToGrid/>
        <w:ind w:firstLine="544" w:firstLineChars="200"/>
        <w:textAlignment w:val="auto"/>
        <w:rPr>
          <w:rFonts w:hint="eastAsia" w:ascii="宋体" w:hAnsi="宋体" w:cs="宋体"/>
        </w:rPr>
      </w:pPr>
      <w:r>
        <w:rPr>
          <w:rFonts w:hint="eastAsia" w:ascii="宋体" w:hAnsi="宋体" w:cs="宋体"/>
          <w:color w:val="000000"/>
          <w:spacing w:val="-4"/>
          <w:sz w:val="28"/>
        </w:rPr>
        <w:t>4.0.</w:t>
      </w:r>
      <w:r>
        <w:rPr>
          <w:rFonts w:hint="eastAsia" w:ascii="宋体" w:hAnsi="宋体" w:cs="宋体"/>
          <w:color w:val="000000"/>
          <w:spacing w:val="-4"/>
          <w:sz w:val="28"/>
          <w:lang w:val="en-US" w:eastAsia="zh-CN"/>
        </w:rPr>
        <w:t>7 弱电</w:t>
      </w:r>
      <w:r>
        <w:rPr>
          <w:rFonts w:hint="eastAsia" w:ascii="宋体" w:hAnsi="宋体" w:cs="宋体"/>
          <w:color w:val="000000"/>
          <w:spacing w:val="-4"/>
          <w:sz w:val="28"/>
        </w:rPr>
        <w:t>井内未设置接地端子。</w:t>
      </w:r>
    </w:p>
    <w:p w14:paraId="2B1D98F7">
      <w:pPr>
        <w:keepNext w:val="0"/>
        <w:keepLines w:val="0"/>
        <w:pageBreakBefore w:val="0"/>
        <w:widowControl w:val="0"/>
        <w:kinsoku/>
        <w:wordWrap w:val="0"/>
        <w:overflowPunct/>
        <w:topLinePunct w:val="0"/>
        <w:autoSpaceDE/>
        <w:autoSpaceDN/>
        <w:bidi w:val="0"/>
        <w:adjustRightInd/>
        <w:snapToGrid/>
        <w:spacing w:line="360" w:lineRule="auto"/>
        <w:ind w:firstLine="562" w:firstLineChars="200"/>
        <w:textAlignment w:val="auto"/>
        <w:rPr>
          <w:rFonts w:hint="eastAsia" w:ascii="宋体" w:hAnsi="宋体" w:cs="宋体"/>
          <w:color w:val="000000"/>
          <w:sz w:val="28"/>
        </w:rPr>
      </w:pPr>
      <w:r>
        <w:rPr>
          <w:rFonts w:hint="eastAsia" w:ascii="宋体" w:hAnsi="宋体" w:cs="宋体"/>
          <w:b/>
          <w:color w:val="000000"/>
          <w:sz w:val="28"/>
        </w:rPr>
        <w:t>依据：</w:t>
      </w:r>
      <w:r>
        <w:rPr>
          <w:rFonts w:hint="eastAsia" w:ascii="宋体" w:hAnsi="宋体" w:cs="宋体"/>
          <w:color w:val="000000"/>
          <w:sz w:val="28"/>
        </w:rPr>
        <w:t>《民用建筑电气设计标准》</w:t>
      </w:r>
      <w:r>
        <w:rPr>
          <w:rFonts w:hint="eastAsia" w:ascii="宋体" w:hAnsi="宋体" w:cs="宋体"/>
          <w:color w:val="000000"/>
          <w:sz w:val="28"/>
          <w:lang w:eastAsia="zh-CN"/>
        </w:rPr>
        <w:t>（</w:t>
      </w:r>
      <w:r>
        <w:rPr>
          <w:rFonts w:hint="eastAsia" w:ascii="宋体" w:hAnsi="宋体" w:cs="宋体"/>
          <w:color w:val="000000"/>
          <w:sz w:val="28"/>
        </w:rPr>
        <w:t>GB51348-2019</w:t>
      </w:r>
      <w:r>
        <w:rPr>
          <w:rFonts w:hint="eastAsia" w:ascii="宋体" w:hAnsi="宋体" w:cs="宋体"/>
          <w:color w:val="000000"/>
          <w:sz w:val="28"/>
          <w:lang w:eastAsia="zh-CN"/>
        </w:rPr>
        <w:t>）</w:t>
      </w:r>
      <w:r>
        <w:rPr>
          <w:rFonts w:hint="eastAsia" w:ascii="宋体" w:hAnsi="宋体" w:cs="宋体"/>
          <w:color w:val="000000"/>
          <w:sz w:val="28"/>
        </w:rPr>
        <w:t>第23.5.2条第3款</w:t>
      </w:r>
      <w:r>
        <w:rPr>
          <w:rFonts w:hint="eastAsia" w:ascii="宋体" w:hAnsi="宋体" w:cs="宋体"/>
          <w:color w:val="000000"/>
          <w:sz w:val="28"/>
          <w:lang w:eastAsia="zh-CN"/>
        </w:rPr>
        <w:t>，</w:t>
      </w:r>
      <w:r>
        <w:rPr>
          <w:rFonts w:hint="eastAsia" w:ascii="宋体" w:hAnsi="宋体" w:cs="宋体"/>
          <w:color w:val="000000"/>
          <w:sz w:val="28"/>
        </w:rPr>
        <w:t>弱电间(弱电竖井)应设接地干线和接地端子箱，接地干线宜采用不小于BV(BVR)-25mm</w:t>
      </w:r>
      <w:r>
        <w:rPr>
          <w:rFonts w:hint="eastAsia" w:ascii="宋体" w:hAnsi="宋体" w:cs="宋体"/>
          <w:color w:val="000000"/>
          <w:sz w:val="28"/>
          <w:vertAlign w:val="superscript"/>
        </w:rPr>
        <w:t>2</w:t>
      </w:r>
      <w:r>
        <w:rPr>
          <w:rFonts w:hint="eastAsia" w:ascii="宋体" w:hAnsi="宋体" w:cs="宋体"/>
          <w:color w:val="000000"/>
          <w:sz w:val="28"/>
        </w:rPr>
        <w:t>的导体与机房接地端子箱连接</w:t>
      </w:r>
      <w:r>
        <w:rPr>
          <w:rFonts w:hint="eastAsia" w:ascii="宋体" w:hAnsi="宋体" w:cs="宋体"/>
          <w:color w:val="000000"/>
          <w:sz w:val="28"/>
          <w:lang w:eastAsia="zh-CN"/>
        </w:rPr>
        <w:t>；</w:t>
      </w:r>
      <w:r>
        <w:rPr>
          <w:rFonts w:hint="eastAsia" w:ascii="宋体" w:hAnsi="宋体" w:cs="宋体"/>
          <w:color w:val="000000"/>
          <w:sz w:val="28"/>
        </w:rPr>
        <w:t>弱电间(弱电竖井)的接地干线应每三层与楼层钢筋做等电位联结。</w:t>
      </w:r>
    </w:p>
    <w:p w14:paraId="1B044D9B">
      <w:pPr>
        <w:pageBreakBefore w:val="0"/>
        <w:kinsoku/>
        <w:wordWrap w:val="0"/>
        <w:topLinePunct w:val="0"/>
        <w:bidi w:val="0"/>
        <w:snapToGrid/>
        <w:spacing w:line="360" w:lineRule="auto"/>
        <w:ind w:firstLine="560" w:firstLineChars="200"/>
        <w:textAlignment w:val="auto"/>
        <w:rPr>
          <w:rFonts w:hint="eastAsia" w:ascii="宋体" w:hAnsi="宋体" w:cs="宋体"/>
        </w:rPr>
      </w:pPr>
      <w:r>
        <w:rPr>
          <w:rFonts w:hint="eastAsia" w:ascii="宋体" w:hAnsi="宋体" w:cs="宋体"/>
          <w:color w:val="000000"/>
          <w:sz w:val="28"/>
        </w:rPr>
        <w:t>案例：某车站弱电间(弱电竖井)内未设置接地端子</w:t>
      </w:r>
      <w:r>
        <w:rPr>
          <w:rFonts w:hint="eastAsia" w:ascii="宋体" w:hAnsi="宋体" w:cs="宋体"/>
          <w:color w:val="000000"/>
          <w:sz w:val="28"/>
          <w:lang w:eastAsia="zh-CN"/>
        </w:rPr>
        <w:t>，不满足上述规范要求</w:t>
      </w:r>
      <w:r>
        <w:rPr>
          <w:rFonts w:hint="eastAsia" w:ascii="宋体" w:hAnsi="宋体" w:cs="宋体"/>
          <w:color w:val="000000"/>
          <w:sz w:val="28"/>
        </w:rPr>
        <w:t>。</w:t>
      </w:r>
    </w:p>
    <w:p w14:paraId="2F8A3710">
      <w:pPr>
        <w:pageBreakBefore w:val="0"/>
        <w:kinsoku/>
        <w:wordWrap w:val="0"/>
        <w:topLinePunct w:val="0"/>
        <w:bidi w:val="0"/>
        <w:snapToGrid/>
        <w:ind w:firstLine="544" w:firstLineChars="200"/>
        <w:textAlignment w:val="auto"/>
        <w:rPr>
          <w:rFonts w:hint="eastAsia" w:ascii="宋体" w:hAnsi="宋体" w:cs="宋体"/>
          <w:color w:val="000000"/>
          <w:spacing w:val="-4"/>
          <w:sz w:val="28"/>
        </w:rPr>
      </w:pPr>
    </w:p>
    <w:p w14:paraId="5E4C0CAC">
      <w:pPr>
        <w:pageBreakBefore w:val="0"/>
        <w:kinsoku/>
        <w:wordWrap w:val="0"/>
        <w:topLinePunct w:val="0"/>
        <w:bidi w:val="0"/>
        <w:snapToGrid/>
        <w:ind w:firstLine="544" w:firstLineChars="200"/>
        <w:textAlignment w:val="auto"/>
        <w:rPr>
          <w:rFonts w:hint="eastAsia" w:ascii="宋体" w:hAnsi="宋体" w:cs="宋体"/>
        </w:rPr>
      </w:pPr>
      <w:r>
        <w:rPr>
          <w:rFonts w:hint="eastAsia" w:ascii="宋体" w:hAnsi="宋体" w:cs="宋体"/>
          <w:color w:val="000000"/>
          <w:spacing w:val="-4"/>
          <w:sz w:val="28"/>
        </w:rPr>
        <w:t>4.0.</w:t>
      </w:r>
      <w:r>
        <w:rPr>
          <w:rFonts w:hint="eastAsia" w:ascii="宋体" w:hAnsi="宋体" w:cs="宋体"/>
          <w:color w:val="000000"/>
          <w:spacing w:val="-4"/>
          <w:sz w:val="28"/>
          <w:lang w:val="en-US" w:eastAsia="zh-CN"/>
        </w:rPr>
        <w:t xml:space="preserve">8 </w:t>
      </w:r>
      <w:r>
        <w:rPr>
          <w:rFonts w:hint="eastAsia" w:ascii="宋体" w:hAnsi="宋体" w:cs="宋体"/>
          <w:color w:val="000000"/>
          <w:spacing w:val="-4"/>
          <w:sz w:val="28"/>
        </w:rPr>
        <w:t>强电电缆井内消防配电电缆与非消防电缆同井敷设，且未采取措施。</w:t>
      </w:r>
    </w:p>
    <w:p w14:paraId="681727FC">
      <w:pPr>
        <w:pageBreakBefore w:val="0"/>
        <w:kinsoku/>
        <w:wordWrap w:val="0"/>
        <w:topLinePunct w:val="0"/>
        <w:bidi w:val="0"/>
        <w:snapToGrid/>
        <w:spacing w:line="360" w:lineRule="auto"/>
        <w:ind w:firstLine="562" w:firstLineChars="200"/>
        <w:textAlignment w:val="auto"/>
        <w:rPr>
          <w:rFonts w:hint="eastAsia" w:ascii="宋体" w:hAnsi="宋体" w:cs="宋体"/>
        </w:rPr>
      </w:pPr>
      <w:r>
        <w:rPr>
          <w:rFonts w:hint="eastAsia" w:ascii="宋体" w:hAnsi="宋体" w:cs="宋体"/>
          <w:b/>
          <w:color w:val="000000"/>
          <w:sz w:val="28"/>
        </w:rPr>
        <w:t>依据：</w:t>
      </w:r>
      <w:r>
        <w:rPr>
          <w:rFonts w:hint="eastAsia" w:ascii="宋体" w:hAnsi="宋体" w:cs="宋体"/>
          <w:color w:val="000000"/>
          <w:sz w:val="28"/>
        </w:rPr>
        <w:t>《建筑设计防火规范》</w:t>
      </w:r>
      <w:r>
        <w:rPr>
          <w:rFonts w:hint="eastAsia" w:ascii="宋体" w:hAnsi="宋体" w:cs="宋体"/>
          <w:color w:val="000000"/>
          <w:sz w:val="28"/>
          <w:lang w:eastAsia="zh-CN"/>
        </w:rPr>
        <w:t>（</w:t>
      </w:r>
      <w:r>
        <w:rPr>
          <w:rFonts w:hint="eastAsia" w:ascii="宋体" w:hAnsi="宋体" w:cs="宋体"/>
          <w:color w:val="000000"/>
          <w:sz w:val="28"/>
        </w:rPr>
        <w:t>GB50016-2014（2018年版）</w:t>
      </w:r>
      <w:r>
        <w:rPr>
          <w:rFonts w:hint="eastAsia" w:ascii="宋体" w:hAnsi="宋体" w:cs="宋体"/>
          <w:color w:val="000000"/>
          <w:sz w:val="28"/>
          <w:lang w:eastAsia="zh-CN"/>
        </w:rPr>
        <w:t>）</w:t>
      </w:r>
      <w:r>
        <w:rPr>
          <w:rFonts w:hint="eastAsia" w:ascii="宋体" w:hAnsi="宋体" w:cs="宋体"/>
          <w:color w:val="000000"/>
          <w:sz w:val="28"/>
        </w:rPr>
        <w:t>第10.1.10条</w:t>
      </w:r>
      <w:r>
        <w:rPr>
          <w:rFonts w:hint="eastAsia" w:ascii="宋体" w:hAnsi="宋体" w:cs="宋体"/>
          <w:color w:val="000000"/>
          <w:sz w:val="28"/>
          <w:lang w:eastAsia="zh-CN"/>
        </w:rPr>
        <w:t>，</w:t>
      </w:r>
      <w:r>
        <w:rPr>
          <w:rFonts w:hint="eastAsia" w:ascii="宋体" w:hAnsi="宋体" w:cs="宋体"/>
          <w:color w:val="000000"/>
          <w:sz w:val="28"/>
        </w:rPr>
        <w:t>消防配电线路宜与其它配电线路敷设在不同的电缆井、沟内。确实有困难需敷设在同一电缆井、沟内，应分别布置在电缆井、沟的两侧，且消防配电线路应选用矿物绝缘类不燃性电缆。</w:t>
      </w:r>
    </w:p>
    <w:p w14:paraId="1F5E05BA">
      <w:pPr>
        <w:pageBreakBefore w:val="0"/>
        <w:kinsoku/>
        <w:wordWrap w:val="0"/>
        <w:topLinePunct w:val="0"/>
        <w:bidi w:val="0"/>
        <w:snapToGrid/>
        <w:ind w:firstLine="544" w:firstLineChars="200"/>
        <w:textAlignment w:val="auto"/>
        <w:rPr>
          <w:rFonts w:hint="eastAsia" w:ascii="宋体" w:hAnsi="宋体" w:cs="宋体"/>
          <w:color w:val="000000"/>
          <w:spacing w:val="-4"/>
          <w:sz w:val="28"/>
        </w:rPr>
      </w:pPr>
    </w:p>
    <w:p w14:paraId="78B538FC">
      <w:pPr>
        <w:pageBreakBefore w:val="0"/>
        <w:kinsoku/>
        <w:wordWrap w:val="0"/>
        <w:topLinePunct w:val="0"/>
        <w:bidi w:val="0"/>
        <w:snapToGrid/>
        <w:ind w:firstLine="544" w:firstLineChars="200"/>
        <w:textAlignment w:val="auto"/>
        <w:rPr>
          <w:rFonts w:hint="eastAsia" w:ascii="宋体" w:hAnsi="宋体" w:cs="宋体"/>
        </w:rPr>
      </w:pPr>
      <w:r>
        <w:rPr>
          <w:rFonts w:hint="eastAsia" w:ascii="宋体" w:hAnsi="宋体" w:cs="宋体"/>
          <w:color w:val="000000"/>
          <w:spacing w:val="-4"/>
          <w:sz w:val="28"/>
        </w:rPr>
        <w:t>4.0.</w:t>
      </w:r>
      <w:r>
        <w:rPr>
          <w:rFonts w:hint="eastAsia" w:ascii="宋体" w:hAnsi="宋体" w:cs="宋体"/>
          <w:color w:val="000000"/>
          <w:spacing w:val="-4"/>
          <w:sz w:val="28"/>
          <w:lang w:val="en-US" w:eastAsia="zh-CN"/>
        </w:rPr>
        <w:t xml:space="preserve">9 </w:t>
      </w:r>
      <w:r>
        <w:rPr>
          <w:rFonts w:hint="eastAsia" w:ascii="宋体" w:hAnsi="宋体" w:cs="宋体"/>
          <w:color w:val="000000"/>
          <w:spacing w:val="-4"/>
          <w:sz w:val="28"/>
        </w:rPr>
        <w:t>防火卷帘，电动排烟、消防潜污泵、消防应急和疏散指示标志等</w:t>
      </w:r>
      <w:r>
        <w:rPr>
          <w:rFonts w:hint="eastAsia" w:ascii="宋体" w:hAnsi="宋体" w:cs="宋体"/>
          <w:color w:val="000000"/>
          <w:sz w:val="28"/>
        </w:rPr>
        <w:t>电源</w:t>
      </w:r>
      <w:r>
        <w:rPr>
          <w:rFonts w:hint="eastAsia" w:ascii="宋体" w:hAnsi="宋体" w:cs="宋体"/>
          <w:color w:val="000000"/>
          <w:sz w:val="28"/>
          <w:lang w:val="en-US" w:eastAsia="zh-CN"/>
        </w:rPr>
        <w:t>未</w:t>
      </w:r>
      <w:r>
        <w:rPr>
          <w:rFonts w:hint="eastAsia" w:ascii="宋体" w:hAnsi="宋体" w:cs="宋体"/>
          <w:color w:val="000000"/>
          <w:sz w:val="28"/>
        </w:rPr>
        <w:t>在</w:t>
      </w:r>
      <w:r>
        <w:rPr>
          <w:rFonts w:hint="eastAsia" w:ascii="宋体" w:hAnsi="宋体" w:cs="宋体"/>
          <w:color w:val="000000"/>
          <w:sz w:val="28"/>
          <w:lang w:val="en-US" w:eastAsia="zh-CN"/>
        </w:rPr>
        <w:t>所在</w:t>
      </w:r>
      <w:r>
        <w:rPr>
          <w:rFonts w:hint="eastAsia" w:ascii="宋体" w:hAnsi="宋体" w:cs="宋体"/>
          <w:color w:val="000000"/>
          <w:sz w:val="28"/>
        </w:rPr>
        <w:t>防火分区</w:t>
      </w:r>
      <w:r>
        <w:rPr>
          <w:rFonts w:hint="eastAsia" w:ascii="宋体" w:hAnsi="宋体" w:cs="宋体"/>
          <w:color w:val="000000"/>
          <w:sz w:val="28"/>
          <w:lang w:val="en-US" w:eastAsia="zh-CN"/>
        </w:rPr>
        <w:t>的配电箱</w:t>
      </w:r>
      <w:r>
        <w:rPr>
          <w:rFonts w:hint="eastAsia" w:ascii="宋体" w:hAnsi="宋体" w:cs="宋体"/>
          <w:color w:val="000000"/>
          <w:sz w:val="28"/>
        </w:rPr>
        <w:t>内</w:t>
      </w:r>
      <w:r>
        <w:rPr>
          <w:rFonts w:hint="eastAsia" w:ascii="宋体" w:hAnsi="宋体" w:cs="宋体"/>
          <w:color w:val="000000"/>
          <w:spacing w:val="-4"/>
          <w:sz w:val="28"/>
        </w:rPr>
        <w:t>设置自动切换装置。</w:t>
      </w:r>
    </w:p>
    <w:p w14:paraId="0932976F">
      <w:pPr>
        <w:pageBreakBefore w:val="0"/>
        <w:kinsoku/>
        <w:wordWrap w:val="0"/>
        <w:topLinePunct w:val="0"/>
        <w:bidi w:val="0"/>
        <w:snapToGrid/>
        <w:ind w:firstLine="562" w:firstLineChars="200"/>
        <w:jc w:val="left"/>
        <w:textAlignment w:val="auto"/>
        <w:rPr>
          <w:rFonts w:hint="eastAsia" w:ascii="宋体" w:hAnsi="宋体" w:cs="宋体"/>
        </w:rPr>
      </w:pPr>
      <w:r>
        <w:rPr>
          <w:rFonts w:hint="eastAsia" w:ascii="宋体" w:hAnsi="宋体" w:cs="宋体"/>
          <w:b/>
          <w:color w:val="000000"/>
          <w:sz w:val="28"/>
        </w:rPr>
        <w:t>依据：</w:t>
      </w:r>
      <w:r>
        <w:rPr>
          <w:rFonts w:hint="eastAsia" w:ascii="宋体" w:hAnsi="宋体" w:cs="宋体"/>
          <w:color w:val="000000"/>
          <w:sz w:val="28"/>
        </w:rPr>
        <w:t>《建筑防火通用规范》</w:t>
      </w:r>
      <w:r>
        <w:rPr>
          <w:rFonts w:hint="eastAsia" w:ascii="宋体" w:hAnsi="宋体" w:cs="宋体"/>
          <w:color w:val="000000"/>
          <w:sz w:val="28"/>
          <w:lang w:eastAsia="zh-CN"/>
        </w:rPr>
        <w:t>（</w:t>
      </w:r>
      <w:r>
        <w:rPr>
          <w:rFonts w:hint="eastAsia" w:ascii="宋体" w:hAnsi="宋体" w:cs="宋体"/>
          <w:color w:val="000000"/>
          <w:sz w:val="28"/>
        </w:rPr>
        <w:t>GB55037-2022</w:t>
      </w:r>
      <w:r>
        <w:rPr>
          <w:rFonts w:hint="eastAsia" w:ascii="宋体" w:hAnsi="宋体" w:cs="宋体"/>
          <w:color w:val="000000"/>
          <w:sz w:val="28"/>
          <w:lang w:eastAsia="zh-CN"/>
        </w:rPr>
        <w:t>）</w:t>
      </w:r>
      <w:r>
        <w:rPr>
          <w:rFonts w:hint="eastAsia" w:ascii="宋体" w:hAnsi="宋体" w:cs="宋体"/>
          <w:color w:val="000000"/>
          <w:sz w:val="28"/>
        </w:rPr>
        <w:t>第10.1.6条</w:t>
      </w:r>
      <w:r>
        <w:rPr>
          <w:rFonts w:hint="eastAsia" w:ascii="宋体" w:hAnsi="宋体" w:cs="宋体"/>
          <w:color w:val="000000"/>
          <w:sz w:val="28"/>
          <w:lang w:eastAsia="zh-CN"/>
        </w:rPr>
        <w:t>，</w:t>
      </w:r>
      <w:r>
        <w:rPr>
          <w:rFonts w:hint="eastAsia" w:ascii="宋体" w:hAnsi="宋体" w:cs="宋体"/>
          <w:color w:val="000000"/>
          <w:sz w:val="28"/>
        </w:rPr>
        <w:t>防火卷帘，电动排烟、消防潜污泵、消防应急和疏散指示标志等的供电，应在所在防火分区的配电箱内设置自动切换装置。</w:t>
      </w:r>
    </w:p>
    <w:p w14:paraId="08506495">
      <w:pPr>
        <w:pageBreakBefore w:val="0"/>
        <w:kinsoku/>
        <w:wordWrap w:val="0"/>
        <w:topLinePunct w:val="0"/>
        <w:bidi w:val="0"/>
        <w:snapToGrid/>
        <w:ind w:firstLine="560" w:firstLineChars="200"/>
        <w:jc w:val="left"/>
        <w:textAlignment w:val="auto"/>
        <w:rPr>
          <w:rFonts w:hint="eastAsia" w:ascii="宋体" w:hAnsi="宋体" w:cs="宋体"/>
        </w:rPr>
      </w:pPr>
      <w:r>
        <w:rPr>
          <w:rFonts w:hint="eastAsia" w:ascii="宋体" w:hAnsi="宋体" w:cs="宋体"/>
          <w:color w:val="000000"/>
          <w:sz w:val="28"/>
        </w:rPr>
        <w:t>案例：某车站设计跨防火分区设置配电箱为消防卷帘门供电</w:t>
      </w:r>
      <w:r>
        <w:rPr>
          <w:rFonts w:hint="eastAsia" w:ascii="宋体" w:hAnsi="宋体" w:cs="宋体"/>
          <w:color w:val="000000"/>
          <w:sz w:val="28"/>
          <w:lang w:eastAsia="zh-CN"/>
        </w:rPr>
        <w:t>，不满足上述规范要求</w:t>
      </w:r>
      <w:r>
        <w:rPr>
          <w:rFonts w:hint="eastAsia" w:ascii="宋体" w:hAnsi="宋体" w:cs="宋体"/>
          <w:color w:val="000000"/>
          <w:sz w:val="28"/>
        </w:rPr>
        <w:t>。</w:t>
      </w:r>
    </w:p>
    <w:p w14:paraId="4571103C">
      <w:pPr>
        <w:pageBreakBefore w:val="0"/>
        <w:kinsoku/>
        <w:wordWrap w:val="0"/>
        <w:topLinePunct w:val="0"/>
        <w:bidi w:val="0"/>
        <w:snapToGrid/>
        <w:ind w:firstLine="544" w:firstLineChars="200"/>
        <w:textAlignment w:val="auto"/>
        <w:rPr>
          <w:rFonts w:hint="eastAsia" w:ascii="宋体" w:hAnsi="宋体" w:cs="宋体"/>
          <w:color w:val="000000"/>
          <w:spacing w:val="-4"/>
          <w:sz w:val="28"/>
        </w:rPr>
      </w:pPr>
    </w:p>
    <w:p w14:paraId="324C6586">
      <w:pPr>
        <w:pageBreakBefore w:val="0"/>
        <w:kinsoku/>
        <w:wordWrap w:val="0"/>
        <w:topLinePunct w:val="0"/>
        <w:bidi w:val="0"/>
        <w:snapToGrid/>
        <w:ind w:firstLine="544" w:firstLineChars="200"/>
        <w:textAlignment w:val="auto"/>
        <w:rPr>
          <w:rFonts w:hint="eastAsia" w:ascii="宋体" w:hAnsi="宋体" w:cs="宋体"/>
        </w:rPr>
      </w:pPr>
      <w:r>
        <w:rPr>
          <w:rFonts w:hint="eastAsia" w:ascii="宋体" w:hAnsi="宋体" w:cs="宋体"/>
          <w:color w:val="000000"/>
          <w:spacing w:val="-4"/>
          <w:sz w:val="28"/>
        </w:rPr>
        <w:t>4.0.1</w:t>
      </w:r>
      <w:r>
        <w:rPr>
          <w:rFonts w:hint="eastAsia" w:ascii="宋体" w:hAnsi="宋体" w:cs="宋体"/>
          <w:color w:val="000000"/>
          <w:spacing w:val="-4"/>
          <w:sz w:val="28"/>
          <w:lang w:val="en-US" w:eastAsia="zh-CN"/>
        </w:rPr>
        <w:t xml:space="preserve">0 </w:t>
      </w:r>
      <w:r>
        <w:rPr>
          <w:rFonts w:hint="eastAsia" w:ascii="宋体" w:hAnsi="宋体" w:cs="宋体"/>
          <w:color w:val="000000"/>
          <w:spacing w:val="-4"/>
          <w:sz w:val="28"/>
        </w:rPr>
        <w:t>出入口自动扶梯在应急状态下没有设置疏散模式。</w:t>
      </w:r>
    </w:p>
    <w:p w14:paraId="3FD32B36">
      <w:pPr>
        <w:pageBreakBefore w:val="0"/>
        <w:kinsoku/>
        <w:wordWrap w:val="0"/>
        <w:topLinePunct w:val="0"/>
        <w:bidi w:val="0"/>
        <w:snapToGrid/>
        <w:ind w:firstLine="562" w:firstLineChars="200"/>
        <w:textAlignment w:val="auto"/>
        <w:rPr>
          <w:rFonts w:hint="eastAsia" w:ascii="宋体" w:hAnsi="宋体" w:cs="宋体"/>
        </w:rPr>
      </w:pPr>
      <w:r>
        <w:rPr>
          <w:rFonts w:hint="eastAsia" w:ascii="宋体" w:hAnsi="宋体" w:cs="宋体"/>
          <w:b/>
          <w:color w:val="000000"/>
          <w:sz w:val="28"/>
        </w:rPr>
        <w:t>依据:</w:t>
      </w:r>
      <w:r>
        <w:rPr>
          <w:rFonts w:hint="eastAsia" w:ascii="宋体" w:hAnsi="宋体" w:cs="宋体"/>
          <w:color w:val="000000"/>
          <w:spacing w:val="-4"/>
          <w:sz w:val="28"/>
        </w:rPr>
        <w:t>《城市轨道交通工程项目规范》</w:t>
      </w:r>
      <w:r>
        <w:rPr>
          <w:rFonts w:hint="eastAsia" w:ascii="宋体" w:hAnsi="宋体" w:cs="宋体"/>
          <w:color w:val="000000"/>
          <w:spacing w:val="-4"/>
          <w:sz w:val="28"/>
          <w:lang w:eastAsia="zh-CN"/>
        </w:rPr>
        <w:t>（</w:t>
      </w:r>
      <w:r>
        <w:rPr>
          <w:rFonts w:hint="eastAsia" w:ascii="宋体" w:hAnsi="宋体" w:cs="宋体"/>
          <w:color w:val="000000"/>
          <w:spacing w:val="-4"/>
          <w:sz w:val="28"/>
        </w:rPr>
        <w:t>GB55033-2022</w:t>
      </w:r>
      <w:r>
        <w:rPr>
          <w:rFonts w:hint="eastAsia" w:ascii="宋体" w:hAnsi="宋体" w:cs="宋体"/>
          <w:color w:val="000000"/>
          <w:spacing w:val="-4"/>
          <w:sz w:val="28"/>
          <w:lang w:eastAsia="zh-CN"/>
        </w:rPr>
        <w:t>）</w:t>
      </w:r>
      <w:r>
        <w:rPr>
          <w:rFonts w:hint="eastAsia" w:ascii="宋体" w:hAnsi="宋体" w:cs="宋体"/>
          <w:color w:val="000000"/>
          <w:spacing w:val="-4"/>
          <w:sz w:val="28"/>
        </w:rPr>
        <w:t>第2.5.3条第2款，出入口自动扶梯在应急状态下需要转变为疏散模式。</w:t>
      </w:r>
    </w:p>
    <w:p w14:paraId="338574A9">
      <w:pPr>
        <w:pageBreakBefore w:val="0"/>
        <w:kinsoku/>
        <w:wordWrap w:val="0"/>
        <w:topLinePunct w:val="0"/>
        <w:bidi w:val="0"/>
        <w:snapToGrid/>
        <w:ind w:firstLine="560" w:firstLineChars="200"/>
        <w:jc w:val="left"/>
        <w:textAlignment w:val="auto"/>
        <w:rPr>
          <w:rFonts w:hint="eastAsia" w:ascii="宋体" w:hAnsi="宋体" w:cs="宋体"/>
          <w:color w:val="000000"/>
          <w:sz w:val="28"/>
        </w:rPr>
      </w:pPr>
      <w:r>
        <w:rPr>
          <w:rFonts w:hint="eastAsia" w:ascii="宋体" w:hAnsi="宋体" w:cs="宋体"/>
          <w:color w:val="000000"/>
          <w:sz w:val="28"/>
        </w:rPr>
        <w:t>案例：某车站出入口扶梯没有设置疏散模式</w:t>
      </w:r>
      <w:r>
        <w:rPr>
          <w:rFonts w:hint="eastAsia" w:ascii="宋体" w:hAnsi="宋体" w:cs="宋体"/>
          <w:color w:val="000000"/>
          <w:sz w:val="28"/>
          <w:lang w:eastAsia="zh-CN"/>
        </w:rPr>
        <w:t>，不满足上述规范要求</w:t>
      </w:r>
      <w:r>
        <w:rPr>
          <w:rFonts w:hint="eastAsia" w:ascii="宋体" w:hAnsi="宋体" w:cs="宋体"/>
          <w:color w:val="000000"/>
          <w:sz w:val="28"/>
        </w:rPr>
        <w:t>。</w:t>
      </w:r>
    </w:p>
    <w:p w14:paraId="3D6C91FD">
      <w:pPr>
        <w:pageBreakBefore w:val="0"/>
        <w:kinsoku/>
        <w:wordWrap w:val="0"/>
        <w:topLinePunct w:val="0"/>
        <w:bidi w:val="0"/>
        <w:snapToGrid/>
        <w:ind w:firstLine="544" w:firstLineChars="200"/>
        <w:textAlignment w:val="auto"/>
        <w:rPr>
          <w:rFonts w:hint="eastAsia" w:ascii="宋体" w:hAnsi="宋体" w:cs="宋体"/>
          <w:color w:val="000000"/>
          <w:spacing w:val="-4"/>
          <w:sz w:val="28"/>
        </w:rPr>
      </w:pPr>
    </w:p>
    <w:p w14:paraId="5F4FC913">
      <w:pPr>
        <w:pageBreakBefore w:val="0"/>
        <w:kinsoku/>
        <w:wordWrap w:val="0"/>
        <w:topLinePunct w:val="0"/>
        <w:bidi w:val="0"/>
        <w:snapToGrid/>
        <w:ind w:firstLine="544" w:firstLineChars="200"/>
        <w:textAlignment w:val="auto"/>
        <w:rPr>
          <w:rFonts w:hint="eastAsia" w:ascii="宋体" w:hAnsi="宋体" w:cs="宋体"/>
        </w:rPr>
      </w:pPr>
      <w:r>
        <w:rPr>
          <w:rFonts w:hint="eastAsia" w:ascii="宋体" w:hAnsi="宋体" w:cs="宋体"/>
          <w:color w:val="000000"/>
          <w:spacing w:val="-4"/>
          <w:sz w:val="28"/>
        </w:rPr>
        <w:t>4.0.1</w:t>
      </w:r>
      <w:r>
        <w:rPr>
          <w:rFonts w:hint="eastAsia" w:ascii="宋体" w:hAnsi="宋体" w:cs="宋体"/>
          <w:color w:val="000000"/>
          <w:spacing w:val="-4"/>
          <w:sz w:val="28"/>
          <w:lang w:val="en-US" w:eastAsia="zh-CN"/>
        </w:rPr>
        <w:t xml:space="preserve">1 </w:t>
      </w:r>
      <w:r>
        <w:rPr>
          <w:rFonts w:hint="eastAsia" w:ascii="宋体" w:hAnsi="宋体" w:cs="宋体"/>
          <w:color w:val="000000"/>
          <w:spacing w:val="-4"/>
          <w:sz w:val="28"/>
        </w:rPr>
        <w:t>安全出口外面设置疏散照明灯具。室外或地面上设置的灯具及其连接附件的防护等级不应低于IP67。</w:t>
      </w:r>
    </w:p>
    <w:p w14:paraId="3CDF283D">
      <w:pPr>
        <w:pageBreakBefore w:val="0"/>
        <w:kinsoku/>
        <w:wordWrap w:val="0"/>
        <w:topLinePunct w:val="0"/>
        <w:bidi w:val="0"/>
        <w:snapToGrid/>
        <w:ind w:firstLine="546" w:firstLineChars="200"/>
        <w:textAlignment w:val="auto"/>
        <w:rPr>
          <w:rFonts w:hint="eastAsia" w:ascii="宋体" w:hAnsi="宋体" w:cs="宋体"/>
          <w:color w:val="000000"/>
          <w:spacing w:val="-4"/>
          <w:sz w:val="28"/>
        </w:rPr>
      </w:pPr>
      <w:r>
        <w:rPr>
          <w:rFonts w:hint="eastAsia" w:ascii="宋体" w:hAnsi="宋体" w:cs="宋体"/>
          <w:b/>
          <w:color w:val="000000"/>
          <w:spacing w:val="-4"/>
          <w:sz w:val="28"/>
        </w:rPr>
        <w:t>依据：</w:t>
      </w:r>
      <w:r>
        <w:rPr>
          <w:rFonts w:hint="eastAsia" w:ascii="宋体" w:hAnsi="宋体" w:cs="宋体"/>
          <w:color w:val="000000"/>
          <w:spacing w:val="-4"/>
          <w:sz w:val="28"/>
        </w:rPr>
        <w:t>《消防应急照明和疏散指示系统技术规范》</w:t>
      </w:r>
      <w:r>
        <w:rPr>
          <w:rFonts w:hint="eastAsia" w:ascii="宋体" w:hAnsi="宋体" w:cs="宋体"/>
          <w:color w:val="000000"/>
          <w:spacing w:val="-4"/>
          <w:sz w:val="28"/>
          <w:lang w:eastAsia="zh-CN"/>
        </w:rPr>
        <w:t>（</w:t>
      </w:r>
      <w:r>
        <w:rPr>
          <w:rFonts w:hint="eastAsia" w:ascii="宋体" w:hAnsi="宋体" w:cs="宋体"/>
          <w:color w:val="000000"/>
          <w:spacing w:val="-4"/>
          <w:sz w:val="28"/>
        </w:rPr>
        <w:t>GB51309-2018</w:t>
      </w:r>
      <w:r>
        <w:rPr>
          <w:rFonts w:hint="eastAsia" w:ascii="宋体" w:hAnsi="宋体" w:cs="宋体"/>
          <w:color w:val="000000"/>
          <w:spacing w:val="-4"/>
          <w:sz w:val="28"/>
          <w:lang w:eastAsia="zh-CN"/>
        </w:rPr>
        <w:t>）</w:t>
      </w:r>
      <w:r>
        <w:rPr>
          <w:rFonts w:hint="eastAsia" w:ascii="宋体" w:hAnsi="宋体" w:cs="宋体"/>
          <w:color w:val="000000"/>
          <w:spacing w:val="-4"/>
          <w:sz w:val="28"/>
        </w:rPr>
        <w:t>第3.2.1条第7款</w:t>
      </w:r>
      <w:r>
        <w:rPr>
          <w:rFonts w:hint="eastAsia" w:ascii="宋体" w:hAnsi="宋体" w:cs="宋体"/>
          <w:color w:val="000000"/>
          <w:spacing w:val="-4"/>
          <w:sz w:val="28"/>
          <w:lang w:eastAsia="zh-CN"/>
        </w:rPr>
        <w:t>，</w:t>
      </w:r>
      <w:r>
        <w:rPr>
          <w:rFonts w:hint="eastAsia" w:ascii="宋体" w:hAnsi="宋体" w:cs="宋体"/>
          <w:color w:val="000000"/>
          <w:spacing w:val="-4"/>
          <w:sz w:val="28"/>
        </w:rPr>
        <w:t>在室外或地面上设置时，防护等级不应低于IP67。</w:t>
      </w:r>
    </w:p>
    <w:p w14:paraId="458CC7B9">
      <w:pPr>
        <w:pageBreakBefore w:val="0"/>
        <w:kinsoku/>
        <w:wordWrap w:val="0"/>
        <w:topLinePunct w:val="0"/>
        <w:bidi w:val="0"/>
        <w:snapToGrid/>
        <w:ind w:firstLine="544" w:firstLineChars="200"/>
        <w:textAlignment w:val="auto"/>
        <w:rPr>
          <w:rFonts w:hint="eastAsia" w:ascii="宋体" w:hAnsi="宋体" w:cs="宋体"/>
        </w:rPr>
      </w:pPr>
      <w:r>
        <w:rPr>
          <w:rFonts w:hint="eastAsia" w:ascii="宋体" w:hAnsi="宋体" w:cs="宋体"/>
          <w:color w:val="000000"/>
          <w:spacing w:val="-4"/>
          <w:sz w:val="28"/>
        </w:rPr>
        <w:t>案例：某车站出入口室外设置室外疏散照明灯具</w:t>
      </w:r>
      <w:r>
        <w:rPr>
          <w:rFonts w:hint="eastAsia" w:ascii="宋体" w:hAnsi="宋体" w:cs="宋体"/>
          <w:color w:val="000000"/>
          <w:spacing w:val="-4"/>
          <w:sz w:val="28"/>
          <w:lang w:val="en-US" w:eastAsia="zh-CN"/>
        </w:rPr>
        <w:t>未明确防护等级</w:t>
      </w:r>
      <w:r>
        <w:rPr>
          <w:rFonts w:hint="eastAsia" w:ascii="宋体" w:hAnsi="宋体" w:cs="宋体"/>
          <w:color w:val="000000"/>
          <w:sz w:val="28"/>
          <w:lang w:eastAsia="zh-CN"/>
        </w:rPr>
        <w:t>，不满足上述规范要求</w:t>
      </w:r>
      <w:r>
        <w:rPr>
          <w:rFonts w:hint="eastAsia" w:ascii="宋体" w:hAnsi="宋体" w:cs="宋体"/>
          <w:color w:val="000000"/>
          <w:spacing w:val="-4"/>
          <w:sz w:val="28"/>
        </w:rPr>
        <w:t>。</w:t>
      </w:r>
    </w:p>
    <w:p w14:paraId="559D4667">
      <w:pPr>
        <w:pageBreakBefore w:val="0"/>
        <w:kinsoku/>
        <w:wordWrap w:val="0"/>
        <w:topLinePunct w:val="0"/>
        <w:bidi w:val="0"/>
        <w:snapToGrid/>
        <w:ind w:firstLine="544" w:firstLineChars="200"/>
        <w:textAlignment w:val="auto"/>
        <w:rPr>
          <w:rFonts w:hint="eastAsia" w:ascii="宋体" w:hAnsi="宋体" w:cs="宋体"/>
          <w:color w:val="000000"/>
          <w:spacing w:val="-4"/>
          <w:sz w:val="28"/>
        </w:rPr>
      </w:pPr>
    </w:p>
    <w:p w14:paraId="20F720FF">
      <w:pPr>
        <w:pageBreakBefore w:val="0"/>
        <w:kinsoku/>
        <w:wordWrap w:val="0"/>
        <w:topLinePunct w:val="0"/>
        <w:bidi w:val="0"/>
        <w:snapToGrid/>
        <w:ind w:firstLine="544" w:firstLineChars="200"/>
        <w:textAlignment w:val="auto"/>
        <w:rPr>
          <w:rFonts w:hint="eastAsia" w:ascii="宋体" w:hAnsi="宋体" w:cs="宋体"/>
        </w:rPr>
      </w:pPr>
      <w:r>
        <w:rPr>
          <w:rFonts w:hint="eastAsia" w:ascii="宋体" w:hAnsi="宋体" w:cs="宋体"/>
          <w:color w:val="000000"/>
          <w:spacing w:val="-4"/>
          <w:sz w:val="28"/>
        </w:rPr>
        <w:t>4.0.1</w:t>
      </w:r>
      <w:r>
        <w:rPr>
          <w:rFonts w:hint="eastAsia" w:ascii="宋体" w:hAnsi="宋体" w:cs="宋体"/>
          <w:color w:val="000000"/>
          <w:spacing w:val="-4"/>
          <w:sz w:val="28"/>
          <w:lang w:val="en-US" w:eastAsia="zh-CN"/>
        </w:rPr>
        <w:t xml:space="preserve">2 </w:t>
      </w:r>
      <w:r>
        <w:rPr>
          <w:rFonts w:hint="eastAsia" w:ascii="宋体" w:hAnsi="宋体" w:cs="宋体"/>
          <w:color w:val="000000"/>
          <w:sz w:val="28"/>
        </w:rPr>
        <w:t>消防控制室、消防电梯、消防水泵供电干线耐火时间不满足设计火灾延续时间内为消防用电设备连续供电的需要。</w:t>
      </w:r>
    </w:p>
    <w:p w14:paraId="500760BD">
      <w:pPr>
        <w:pageBreakBefore w:val="0"/>
        <w:kinsoku/>
        <w:wordWrap w:val="0"/>
        <w:topLinePunct w:val="0"/>
        <w:bidi w:val="0"/>
        <w:snapToGrid/>
        <w:ind w:firstLine="562" w:firstLineChars="200"/>
        <w:textAlignment w:val="auto"/>
        <w:rPr>
          <w:rFonts w:hint="eastAsia" w:ascii="宋体" w:hAnsi="宋体" w:cs="宋体"/>
        </w:rPr>
      </w:pPr>
      <w:r>
        <w:rPr>
          <w:rFonts w:hint="eastAsia" w:ascii="宋体" w:hAnsi="宋体" w:cs="宋体"/>
          <w:b/>
          <w:color w:val="000000"/>
          <w:sz w:val="28"/>
        </w:rPr>
        <w:t>依据：</w:t>
      </w:r>
      <w:r>
        <w:rPr>
          <w:rFonts w:hint="eastAsia" w:ascii="宋体" w:hAnsi="宋体" w:cs="宋体"/>
          <w:color w:val="000000"/>
          <w:sz w:val="28"/>
        </w:rPr>
        <w:t>《建筑防火通用规范》</w:t>
      </w:r>
      <w:r>
        <w:rPr>
          <w:rFonts w:hint="eastAsia" w:ascii="宋体" w:hAnsi="宋体" w:cs="宋体"/>
          <w:color w:val="000000"/>
          <w:sz w:val="28"/>
          <w:lang w:eastAsia="zh-CN"/>
        </w:rPr>
        <w:t>（</w:t>
      </w:r>
      <w:r>
        <w:rPr>
          <w:rFonts w:hint="eastAsia" w:ascii="宋体" w:hAnsi="宋体" w:cs="宋体"/>
          <w:color w:val="000000"/>
          <w:sz w:val="28"/>
        </w:rPr>
        <w:t>GB55037-2022</w:t>
      </w:r>
      <w:r>
        <w:rPr>
          <w:rFonts w:hint="eastAsia" w:ascii="宋体" w:hAnsi="宋体" w:cs="宋体"/>
          <w:color w:val="000000"/>
          <w:sz w:val="28"/>
          <w:lang w:eastAsia="zh-CN"/>
        </w:rPr>
        <w:t>）</w:t>
      </w:r>
      <w:r>
        <w:rPr>
          <w:rFonts w:hint="eastAsia" w:ascii="宋体" w:hAnsi="宋体" w:cs="宋体"/>
          <w:color w:val="000000"/>
          <w:sz w:val="28"/>
        </w:rPr>
        <w:t>第10.0.7条</w:t>
      </w:r>
      <w:r>
        <w:rPr>
          <w:rFonts w:hint="eastAsia" w:ascii="宋体" w:hAnsi="宋体" w:cs="宋体"/>
          <w:color w:val="000000"/>
          <w:sz w:val="28"/>
          <w:lang w:eastAsia="zh-CN"/>
        </w:rPr>
        <w:t>，</w:t>
      </w:r>
      <w:r>
        <w:rPr>
          <w:rFonts w:hint="eastAsia" w:ascii="宋体" w:hAnsi="宋体" w:cs="宋体"/>
          <w:color w:val="000000"/>
          <w:sz w:val="28"/>
        </w:rPr>
        <w:t>消防配电线路的设计和敷设，应满足在建筑的设计火灾延续时间内为消防用电设备连续供电的需要。</w:t>
      </w:r>
    </w:p>
    <w:p w14:paraId="20A8859E">
      <w:pPr>
        <w:pageBreakBefore w:val="0"/>
        <w:kinsoku/>
        <w:wordWrap w:val="0"/>
        <w:topLinePunct w:val="0"/>
        <w:bidi w:val="0"/>
        <w:snapToGrid/>
        <w:ind w:firstLine="560" w:firstLineChars="200"/>
        <w:jc w:val="left"/>
        <w:textAlignment w:val="auto"/>
        <w:rPr>
          <w:rFonts w:hint="eastAsia" w:ascii="宋体" w:hAnsi="宋体" w:cs="宋体"/>
        </w:rPr>
      </w:pPr>
      <w:r>
        <w:rPr>
          <w:rFonts w:hint="eastAsia" w:ascii="宋体" w:hAnsi="宋体" w:cs="宋体"/>
          <w:color w:val="000000"/>
          <w:sz w:val="28"/>
        </w:rPr>
        <w:t>《民用建筑电线电缆防火设计标准》</w:t>
      </w:r>
      <w:r>
        <w:rPr>
          <w:rFonts w:hint="eastAsia" w:ascii="宋体" w:hAnsi="宋体" w:cs="宋体"/>
          <w:color w:val="000000"/>
          <w:sz w:val="28"/>
          <w:lang w:eastAsia="zh-CN"/>
        </w:rPr>
        <w:t>（</w:t>
      </w:r>
      <w:r>
        <w:rPr>
          <w:rFonts w:hint="eastAsia" w:ascii="宋体" w:hAnsi="宋体" w:cs="宋体"/>
          <w:color w:val="000000"/>
          <w:sz w:val="28"/>
        </w:rPr>
        <w:t>DBJ50∕T-164-2021</w:t>
      </w:r>
      <w:r>
        <w:rPr>
          <w:rFonts w:hint="eastAsia" w:ascii="宋体" w:hAnsi="宋体" w:cs="宋体"/>
          <w:color w:val="000000"/>
          <w:sz w:val="28"/>
          <w:lang w:eastAsia="zh-CN"/>
        </w:rPr>
        <w:t>）</w:t>
      </w:r>
      <w:r>
        <w:rPr>
          <w:rFonts w:hint="eastAsia" w:ascii="宋体" w:hAnsi="宋体" w:cs="宋体"/>
          <w:color w:val="000000"/>
          <w:sz w:val="28"/>
        </w:rPr>
        <w:t>第5.3.2条</w:t>
      </w:r>
      <w:r>
        <w:rPr>
          <w:rFonts w:hint="eastAsia" w:ascii="宋体" w:hAnsi="宋体" w:cs="宋体"/>
          <w:color w:val="000000"/>
          <w:sz w:val="28"/>
          <w:lang w:eastAsia="zh-CN"/>
        </w:rPr>
        <w:t>，</w:t>
      </w:r>
      <w:r>
        <w:rPr>
          <w:rFonts w:hint="eastAsia" w:ascii="宋体" w:hAnsi="宋体" w:cs="宋体"/>
          <w:color w:val="000000"/>
          <w:sz w:val="28"/>
        </w:rPr>
        <w:t>建筑物内消防设备配电线路的耐火性能、燃烧性能等级应不低于表5.3.2的规定。</w:t>
      </w:r>
    </w:p>
    <w:p w14:paraId="02D816FA">
      <w:pPr>
        <w:pageBreakBefore w:val="0"/>
        <w:kinsoku/>
        <w:wordWrap w:val="0"/>
        <w:topLinePunct w:val="0"/>
        <w:bidi w:val="0"/>
        <w:snapToGrid/>
        <w:jc w:val="center"/>
        <w:textAlignment w:val="auto"/>
        <w:rPr>
          <w:rFonts w:hint="eastAsia" w:ascii="宋体" w:hAnsi="宋体" w:cs="宋体"/>
        </w:rPr>
      </w:pPr>
    </w:p>
    <w:p w14:paraId="49262617">
      <w:pPr>
        <w:pageBreakBefore w:val="0"/>
        <w:kinsoku/>
        <w:wordWrap w:val="0"/>
        <w:topLinePunct w:val="0"/>
        <w:bidi w:val="0"/>
        <w:snapToGrid/>
        <w:jc w:val="center"/>
        <w:textAlignment w:val="auto"/>
        <w:rPr>
          <w:rFonts w:hint="eastAsia" w:ascii="宋体" w:hAnsi="宋体" w:cs="宋体"/>
          <w:color w:val="000000"/>
        </w:rPr>
      </w:pPr>
      <w:r>
        <w:rPr>
          <w:rFonts w:hint="eastAsia" w:ascii="宋体" w:hAnsi="宋体" w:cs="宋体"/>
          <w:color w:val="000000"/>
        </w:rPr>
        <w:drawing>
          <wp:inline distT="0" distB="0" distL="0" distR="0">
            <wp:extent cx="4295775" cy="2832735"/>
            <wp:effectExtent l="0" t="0" r="9525" b="12065"/>
            <wp:docPr id="28" name="picture" descr="descript"/>
            <wp:cNvGraphicFramePr/>
            <a:graphic xmlns:a="http://schemas.openxmlformats.org/drawingml/2006/main">
              <a:graphicData uri="http://schemas.openxmlformats.org/drawingml/2006/picture">
                <pic:pic xmlns:pic="http://schemas.openxmlformats.org/drawingml/2006/picture">
                  <pic:nvPicPr>
                    <pic:cNvPr id="28" name="picture" descr="descript"/>
                    <pic:cNvPicPr/>
                  </pic:nvPicPr>
                  <pic:blipFill>
                    <a:blip r:embed="rId19"/>
                    <a:stretch>
                      <a:fillRect/>
                    </a:stretch>
                  </pic:blipFill>
                  <pic:spPr>
                    <a:xfrm>
                      <a:off x="0" y="0"/>
                      <a:ext cx="4295775" cy="2832735"/>
                    </a:xfrm>
                    <a:prstGeom prst="rect">
                      <a:avLst/>
                    </a:prstGeom>
                    <a:noFill/>
                    <a:ln w="9525" cap="flat" cmpd="sng">
                      <a:noFill/>
                      <a:prstDash val="solid"/>
                      <a:miter/>
                    </a:ln>
                  </pic:spPr>
                </pic:pic>
              </a:graphicData>
            </a:graphic>
          </wp:inline>
        </w:drawing>
      </w:r>
    </w:p>
    <w:p w14:paraId="2095D807">
      <w:pPr>
        <w:pageBreakBefore w:val="0"/>
        <w:kinsoku/>
        <w:wordWrap w:val="0"/>
        <w:topLinePunct w:val="0"/>
        <w:bidi w:val="0"/>
        <w:snapToGrid/>
        <w:ind w:firstLine="560" w:firstLineChars="200"/>
        <w:textAlignment w:val="auto"/>
        <w:rPr>
          <w:rFonts w:hint="eastAsia" w:ascii="宋体" w:hAnsi="宋体" w:cs="宋体"/>
          <w:color w:val="000000"/>
          <w:sz w:val="28"/>
        </w:rPr>
      </w:pPr>
      <w:r>
        <w:rPr>
          <w:rFonts w:hint="eastAsia" w:ascii="宋体" w:hAnsi="宋体" w:cs="宋体"/>
          <w:color w:val="000000"/>
          <w:sz w:val="28"/>
        </w:rPr>
        <w:t>案例：某项目消防控制室供电干线选用WDZBN-YJY电缆</w:t>
      </w:r>
      <w:r>
        <w:rPr>
          <w:rFonts w:hint="eastAsia" w:ascii="宋体" w:hAnsi="宋体" w:cs="宋体"/>
          <w:color w:val="000000"/>
          <w:sz w:val="28"/>
          <w:lang w:eastAsia="zh-CN"/>
        </w:rPr>
        <w:t>，不满足上述规范要求</w:t>
      </w:r>
      <w:r>
        <w:rPr>
          <w:rFonts w:hint="eastAsia" w:ascii="宋体" w:hAnsi="宋体" w:cs="宋体"/>
          <w:color w:val="000000"/>
          <w:spacing w:val="-4"/>
          <w:sz w:val="28"/>
        </w:rPr>
        <w:t>。</w:t>
      </w:r>
    </w:p>
    <w:p w14:paraId="5C520F89">
      <w:pPr>
        <w:pageBreakBefore w:val="0"/>
        <w:kinsoku/>
        <w:wordWrap w:val="0"/>
        <w:topLinePunct w:val="0"/>
        <w:bidi w:val="0"/>
        <w:snapToGrid/>
        <w:ind w:firstLine="420" w:firstLineChars="200"/>
        <w:jc w:val="center"/>
        <w:textAlignment w:val="auto"/>
        <w:rPr>
          <w:rFonts w:hint="eastAsia" w:ascii="宋体" w:hAnsi="宋体" w:cs="宋体"/>
        </w:rPr>
      </w:pPr>
    </w:p>
    <w:p w14:paraId="01647C08">
      <w:pPr>
        <w:pStyle w:val="9"/>
        <w:pageBreakBefore w:val="0"/>
        <w:kinsoku/>
        <w:wordWrap w:val="0"/>
        <w:topLinePunct w:val="0"/>
        <w:bidi w:val="0"/>
        <w:snapToGrid/>
        <w:spacing w:beforeAutospacing="0" w:afterAutospacing="0" w:line="240" w:lineRule="auto"/>
        <w:ind w:firstLine="560" w:firstLineChars="200"/>
        <w:textAlignment w:val="auto"/>
        <w:rPr>
          <w:rFonts w:hint="eastAsia"/>
          <w:sz w:val="28"/>
          <w:szCs w:val="28"/>
        </w:rPr>
      </w:pPr>
      <w:r>
        <w:rPr>
          <w:rFonts w:hint="eastAsia"/>
          <w:sz w:val="28"/>
          <w:szCs w:val="28"/>
        </w:rPr>
        <w:t>4.0.1</w:t>
      </w:r>
      <w:r>
        <w:rPr>
          <w:rFonts w:hint="eastAsia"/>
          <w:sz w:val="28"/>
          <w:szCs w:val="28"/>
          <w:lang w:val="en-US" w:eastAsia="zh-CN"/>
        </w:rPr>
        <w:t xml:space="preserve">3 </w:t>
      </w:r>
      <w:r>
        <w:rPr>
          <w:rFonts w:hint="eastAsia"/>
          <w:sz w:val="28"/>
          <w:szCs w:val="28"/>
        </w:rPr>
        <w:t>楼梯前室未设置火灾探测器，长度超过60m的出入口通道未设置火灾探测器。</w:t>
      </w:r>
    </w:p>
    <w:p w14:paraId="0B8CF061">
      <w:pPr>
        <w:pStyle w:val="9"/>
        <w:pageBreakBefore w:val="0"/>
        <w:kinsoku/>
        <w:wordWrap w:val="0"/>
        <w:topLinePunct w:val="0"/>
        <w:bidi w:val="0"/>
        <w:snapToGrid/>
        <w:spacing w:beforeAutospacing="0" w:afterAutospacing="0" w:line="240" w:lineRule="auto"/>
        <w:ind w:firstLine="562" w:firstLineChars="200"/>
        <w:textAlignment w:val="auto"/>
        <w:rPr>
          <w:rFonts w:hint="eastAsia"/>
          <w:sz w:val="28"/>
          <w:szCs w:val="28"/>
        </w:rPr>
      </w:pPr>
      <w:r>
        <w:rPr>
          <w:rFonts w:hint="eastAsia"/>
          <w:b/>
          <w:sz w:val="28"/>
          <w:szCs w:val="28"/>
        </w:rPr>
        <w:t>依据：</w:t>
      </w:r>
      <w:r>
        <w:rPr>
          <w:rFonts w:hint="eastAsia"/>
          <w:sz w:val="28"/>
          <w:szCs w:val="28"/>
        </w:rPr>
        <w:t>《地铁设计规范》</w:t>
      </w:r>
      <w:r>
        <w:rPr>
          <w:rFonts w:hint="eastAsia"/>
          <w:sz w:val="28"/>
          <w:szCs w:val="28"/>
          <w:lang w:eastAsia="zh-CN"/>
        </w:rPr>
        <w:t>（</w:t>
      </w:r>
      <w:r>
        <w:rPr>
          <w:rFonts w:hint="eastAsia"/>
          <w:sz w:val="28"/>
          <w:szCs w:val="28"/>
        </w:rPr>
        <w:t>GB50157-2013</w:t>
      </w:r>
      <w:r>
        <w:rPr>
          <w:rFonts w:hint="eastAsia"/>
          <w:sz w:val="28"/>
          <w:szCs w:val="28"/>
          <w:lang w:eastAsia="zh-CN"/>
        </w:rPr>
        <w:t>）</w:t>
      </w:r>
      <w:r>
        <w:rPr>
          <w:rFonts w:hint="eastAsia"/>
          <w:sz w:val="28"/>
          <w:szCs w:val="28"/>
        </w:rPr>
        <w:t>第19.4.5条</w:t>
      </w:r>
      <w:r>
        <w:rPr>
          <w:rFonts w:hint="eastAsia"/>
          <w:sz w:val="28"/>
          <w:szCs w:val="28"/>
          <w:lang w:eastAsia="zh-CN"/>
        </w:rPr>
        <w:t>，</w:t>
      </w:r>
      <w:r>
        <w:rPr>
          <w:rFonts w:hint="eastAsia"/>
          <w:sz w:val="28"/>
          <w:szCs w:val="28"/>
        </w:rPr>
        <w:t>地下车站的站厅层公共区、站台层公共区、换乘公共区、各种设备机房、库房、值班室、办公室、走廊、配电室、电缆隧道或夹层，以及长度超过60m的出入口通道，应设置火灾探测器。</w:t>
      </w:r>
    </w:p>
    <w:p w14:paraId="1A95E4F1">
      <w:pPr>
        <w:pStyle w:val="9"/>
        <w:pageBreakBefore w:val="0"/>
        <w:kinsoku/>
        <w:wordWrap w:val="0"/>
        <w:topLinePunct w:val="0"/>
        <w:bidi w:val="0"/>
        <w:snapToGrid/>
        <w:spacing w:beforeAutospacing="0" w:afterAutospacing="0" w:line="240" w:lineRule="auto"/>
        <w:ind w:firstLine="560" w:firstLineChars="200"/>
        <w:textAlignment w:val="auto"/>
        <w:rPr>
          <w:rFonts w:hint="eastAsia" w:eastAsia="宋体"/>
          <w:sz w:val="28"/>
          <w:szCs w:val="28"/>
          <w:lang w:eastAsia="zh-CN"/>
        </w:rPr>
      </w:pPr>
      <w:r>
        <w:rPr>
          <w:rFonts w:hint="eastAsia"/>
          <w:sz w:val="28"/>
          <w:szCs w:val="28"/>
        </w:rPr>
        <w:t>案例：某车站楼梯前室未设置火灾探测器</w:t>
      </w:r>
      <w:r>
        <w:rPr>
          <w:rFonts w:hint="eastAsia"/>
          <w:sz w:val="28"/>
          <w:szCs w:val="28"/>
          <w:lang w:eastAsia="zh-CN"/>
        </w:rPr>
        <w:t>；</w:t>
      </w:r>
      <w:r>
        <w:rPr>
          <w:rFonts w:hint="eastAsia"/>
          <w:sz w:val="28"/>
          <w:szCs w:val="28"/>
        </w:rPr>
        <w:t>车站站厅公共区一处长度大于60米的通道吊顶下未设置感烟探测器</w:t>
      </w:r>
      <w:r>
        <w:rPr>
          <w:rFonts w:hint="eastAsia" w:cs="宋体"/>
          <w:color w:val="000000"/>
          <w:sz w:val="28"/>
          <w:lang w:eastAsia="zh-CN"/>
        </w:rPr>
        <w:t>，不满足上述规范要求</w:t>
      </w:r>
      <w:r>
        <w:rPr>
          <w:rFonts w:hint="eastAsia"/>
          <w:sz w:val="28"/>
          <w:szCs w:val="28"/>
          <w:lang w:eastAsia="zh-CN"/>
        </w:rPr>
        <w:t>。</w:t>
      </w:r>
    </w:p>
    <w:p w14:paraId="42443293">
      <w:pPr>
        <w:pStyle w:val="9"/>
        <w:pageBreakBefore w:val="0"/>
        <w:kinsoku/>
        <w:wordWrap w:val="0"/>
        <w:topLinePunct w:val="0"/>
        <w:bidi w:val="0"/>
        <w:snapToGrid/>
        <w:spacing w:beforeAutospacing="0" w:afterAutospacing="0" w:line="240" w:lineRule="auto"/>
        <w:ind w:firstLine="560" w:firstLineChars="200"/>
        <w:textAlignment w:val="auto"/>
        <w:rPr>
          <w:rFonts w:hint="eastAsia"/>
          <w:sz w:val="28"/>
          <w:szCs w:val="28"/>
        </w:rPr>
      </w:pPr>
    </w:p>
    <w:p w14:paraId="08A6CBD5">
      <w:pPr>
        <w:pStyle w:val="9"/>
        <w:pageBreakBefore w:val="0"/>
        <w:kinsoku/>
        <w:wordWrap w:val="0"/>
        <w:topLinePunct w:val="0"/>
        <w:bidi w:val="0"/>
        <w:snapToGrid/>
        <w:spacing w:beforeAutospacing="0" w:afterAutospacing="0" w:line="240" w:lineRule="auto"/>
        <w:ind w:firstLine="560" w:firstLineChars="200"/>
        <w:textAlignment w:val="auto"/>
        <w:rPr>
          <w:rFonts w:hint="eastAsia"/>
          <w:sz w:val="28"/>
          <w:szCs w:val="28"/>
        </w:rPr>
      </w:pPr>
      <w:r>
        <w:rPr>
          <w:rFonts w:hint="eastAsia"/>
          <w:sz w:val="28"/>
          <w:szCs w:val="28"/>
        </w:rPr>
        <w:t>4.0.1</w:t>
      </w:r>
      <w:r>
        <w:rPr>
          <w:rFonts w:hint="eastAsia"/>
          <w:sz w:val="28"/>
          <w:szCs w:val="28"/>
          <w:lang w:val="en-US" w:eastAsia="zh-CN"/>
        </w:rPr>
        <w:t xml:space="preserve">4 </w:t>
      </w:r>
      <w:r>
        <w:rPr>
          <w:rFonts w:hint="eastAsia"/>
          <w:sz w:val="28"/>
          <w:szCs w:val="28"/>
        </w:rPr>
        <w:t>梁突出顶棚的高度超过600mm时，被梁隔断的每个梁间区域未按规范设置探测器</w:t>
      </w:r>
      <w:r>
        <w:rPr>
          <w:rFonts w:hint="eastAsia"/>
          <w:spacing w:val="-4"/>
          <w:sz w:val="28"/>
          <w:szCs w:val="28"/>
        </w:rPr>
        <w:t>。</w:t>
      </w:r>
    </w:p>
    <w:p w14:paraId="2B55ABC2">
      <w:pPr>
        <w:pStyle w:val="9"/>
        <w:pageBreakBefore w:val="0"/>
        <w:kinsoku/>
        <w:wordWrap w:val="0"/>
        <w:topLinePunct w:val="0"/>
        <w:bidi w:val="0"/>
        <w:snapToGrid/>
        <w:spacing w:beforeAutospacing="0" w:afterAutospacing="0" w:line="240" w:lineRule="auto"/>
        <w:ind w:firstLine="562" w:firstLineChars="200"/>
        <w:textAlignment w:val="auto"/>
        <w:rPr>
          <w:rFonts w:hint="eastAsia"/>
          <w:sz w:val="28"/>
          <w:szCs w:val="28"/>
        </w:rPr>
      </w:pPr>
      <w:r>
        <w:rPr>
          <w:rFonts w:hint="eastAsia"/>
          <w:b/>
          <w:sz w:val="28"/>
          <w:szCs w:val="28"/>
        </w:rPr>
        <w:t>依据：</w:t>
      </w:r>
      <w:r>
        <w:rPr>
          <w:rFonts w:hint="eastAsia"/>
          <w:sz w:val="28"/>
          <w:szCs w:val="28"/>
        </w:rPr>
        <w:t>《火灾自动报警系统设计规范》</w:t>
      </w:r>
      <w:r>
        <w:rPr>
          <w:rFonts w:hint="eastAsia"/>
          <w:sz w:val="28"/>
          <w:szCs w:val="28"/>
          <w:lang w:eastAsia="zh-CN"/>
        </w:rPr>
        <w:t>（</w:t>
      </w:r>
      <w:r>
        <w:rPr>
          <w:rFonts w:hint="eastAsia"/>
          <w:sz w:val="28"/>
          <w:szCs w:val="28"/>
        </w:rPr>
        <w:t>GB50116-2013</w:t>
      </w:r>
      <w:r>
        <w:rPr>
          <w:rFonts w:hint="eastAsia"/>
          <w:sz w:val="28"/>
          <w:szCs w:val="28"/>
          <w:lang w:eastAsia="zh-CN"/>
        </w:rPr>
        <w:t>）</w:t>
      </w:r>
      <w:r>
        <w:rPr>
          <w:rFonts w:hint="eastAsia"/>
          <w:sz w:val="28"/>
          <w:szCs w:val="28"/>
        </w:rPr>
        <w:t>第6.2.3条</w:t>
      </w:r>
      <w:r>
        <w:rPr>
          <w:rFonts w:hint="eastAsia"/>
          <w:sz w:val="28"/>
          <w:szCs w:val="28"/>
          <w:lang w:eastAsia="zh-CN"/>
        </w:rPr>
        <w:t>，</w:t>
      </w:r>
      <w:r>
        <w:rPr>
          <w:rFonts w:hint="eastAsia"/>
          <w:sz w:val="28"/>
          <w:szCs w:val="28"/>
        </w:rPr>
        <w:t>在有梁的顶棚上设置点型感烟火灾探测器、感温火灾探测器时，应符合下列规定:</w:t>
      </w:r>
    </w:p>
    <w:p w14:paraId="531A3CF6">
      <w:pPr>
        <w:pStyle w:val="9"/>
        <w:pageBreakBefore w:val="0"/>
        <w:kinsoku/>
        <w:wordWrap w:val="0"/>
        <w:topLinePunct w:val="0"/>
        <w:bidi w:val="0"/>
        <w:snapToGrid/>
        <w:spacing w:beforeAutospacing="0" w:afterAutospacing="0" w:line="240" w:lineRule="auto"/>
        <w:ind w:firstLine="560" w:firstLineChars="200"/>
        <w:textAlignment w:val="auto"/>
        <w:rPr>
          <w:rFonts w:hint="eastAsia"/>
          <w:sz w:val="28"/>
          <w:szCs w:val="28"/>
        </w:rPr>
      </w:pPr>
      <w:r>
        <w:rPr>
          <w:rFonts w:hint="eastAsia"/>
          <w:sz w:val="28"/>
          <w:szCs w:val="28"/>
        </w:rPr>
        <w:t>3当梁突出顶棚的高度超过600mm时，被梁隔断的每个梁间区域应至少设置一只探测器。</w:t>
      </w:r>
    </w:p>
    <w:p w14:paraId="16C50BDE">
      <w:pPr>
        <w:pStyle w:val="9"/>
        <w:pageBreakBefore w:val="0"/>
        <w:kinsoku/>
        <w:wordWrap w:val="0"/>
        <w:topLinePunct w:val="0"/>
        <w:bidi w:val="0"/>
        <w:snapToGrid/>
        <w:spacing w:beforeAutospacing="0" w:afterAutospacing="0" w:line="240" w:lineRule="auto"/>
        <w:ind w:firstLine="560" w:firstLineChars="200"/>
        <w:textAlignment w:val="auto"/>
        <w:rPr>
          <w:rFonts w:hint="eastAsia" w:ascii="宋体" w:hAnsi="宋体" w:cs="宋体"/>
          <w:sz w:val="28"/>
          <w:szCs w:val="28"/>
        </w:rPr>
      </w:pPr>
      <w:r>
        <w:rPr>
          <w:rFonts w:hint="eastAsia"/>
          <w:sz w:val="28"/>
          <w:szCs w:val="28"/>
        </w:rPr>
        <w:t>案例：某车辆段综合楼梁突出顶棚的高度超过600mm时，被梁隔断的每个梁间区域未按规范设置探测器</w:t>
      </w:r>
      <w:r>
        <w:rPr>
          <w:rFonts w:hint="eastAsia" w:cs="宋体"/>
          <w:color w:val="000000"/>
          <w:sz w:val="28"/>
          <w:lang w:eastAsia="zh-CN"/>
        </w:rPr>
        <w:t>，不满足上述规范要求</w:t>
      </w:r>
      <w:r>
        <w:rPr>
          <w:rFonts w:hint="eastAsia" w:ascii="宋体" w:hAnsi="宋体" w:cs="宋体"/>
          <w:sz w:val="28"/>
          <w:szCs w:val="28"/>
        </w:rPr>
        <w:t>。</w:t>
      </w:r>
    </w:p>
    <w:p w14:paraId="43BD523A">
      <w:pPr>
        <w:pStyle w:val="9"/>
        <w:pageBreakBefore w:val="0"/>
        <w:kinsoku/>
        <w:wordWrap w:val="0"/>
        <w:topLinePunct w:val="0"/>
        <w:bidi w:val="0"/>
        <w:snapToGrid/>
        <w:spacing w:beforeAutospacing="0" w:afterAutospacing="0" w:line="240" w:lineRule="auto"/>
        <w:ind w:firstLine="560" w:firstLineChars="200"/>
        <w:textAlignment w:val="auto"/>
        <w:rPr>
          <w:rFonts w:hint="eastAsia"/>
          <w:sz w:val="28"/>
          <w:szCs w:val="28"/>
        </w:rPr>
      </w:pPr>
    </w:p>
    <w:p w14:paraId="22EFE2D8">
      <w:pPr>
        <w:pStyle w:val="9"/>
        <w:pageBreakBefore w:val="0"/>
        <w:kinsoku/>
        <w:wordWrap w:val="0"/>
        <w:topLinePunct w:val="0"/>
        <w:bidi w:val="0"/>
        <w:snapToGrid/>
        <w:spacing w:beforeAutospacing="0" w:afterAutospacing="0" w:line="240" w:lineRule="auto"/>
        <w:ind w:firstLine="560" w:firstLineChars="200"/>
        <w:textAlignment w:val="auto"/>
        <w:rPr>
          <w:rFonts w:hint="eastAsia"/>
          <w:sz w:val="28"/>
          <w:szCs w:val="28"/>
        </w:rPr>
      </w:pPr>
      <w:r>
        <w:rPr>
          <w:rFonts w:hint="eastAsia"/>
          <w:sz w:val="28"/>
          <w:szCs w:val="28"/>
        </w:rPr>
        <w:t>4.0.1</w:t>
      </w:r>
      <w:r>
        <w:rPr>
          <w:rFonts w:hint="eastAsia"/>
          <w:sz w:val="28"/>
          <w:szCs w:val="28"/>
          <w:lang w:val="en-US" w:eastAsia="zh-CN"/>
        </w:rPr>
        <w:t xml:space="preserve">5 </w:t>
      </w:r>
      <w:r>
        <w:rPr>
          <w:rFonts w:hint="eastAsia"/>
          <w:spacing w:val="-4"/>
          <w:sz w:val="28"/>
          <w:szCs w:val="28"/>
        </w:rPr>
        <w:t>火灾探测器设置未考虑格栅吊顶镂空率。</w:t>
      </w:r>
    </w:p>
    <w:p w14:paraId="6DEE4239">
      <w:pPr>
        <w:pStyle w:val="9"/>
        <w:pageBreakBefore w:val="0"/>
        <w:kinsoku/>
        <w:wordWrap w:val="0"/>
        <w:topLinePunct w:val="0"/>
        <w:bidi w:val="0"/>
        <w:snapToGrid/>
        <w:spacing w:beforeAutospacing="0" w:afterAutospacing="0" w:line="240" w:lineRule="auto"/>
        <w:ind w:firstLine="562" w:firstLineChars="200"/>
        <w:textAlignment w:val="auto"/>
        <w:rPr>
          <w:rFonts w:hint="eastAsia" w:ascii="宋体" w:hAnsi="宋体" w:cs="宋体"/>
          <w:sz w:val="28"/>
          <w:szCs w:val="28"/>
        </w:rPr>
      </w:pPr>
      <w:r>
        <w:rPr>
          <w:rFonts w:hint="eastAsia"/>
          <w:b/>
          <w:sz w:val="28"/>
          <w:szCs w:val="28"/>
        </w:rPr>
        <w:t>依据：</w:t>
      </w:r>
      <w:r>
        <w:rPr>
          <w:rFonts w:hint="eastAsia" w:ascii="宋体" w:hAnsi="宋体" w:cs="宋体"/>
          <w:sz w:val="28"/>
          <w:szCs w:val="28"/>
        </w:rPr>
        <w:t>《火灾自动报警系统设计规范》（GB50116-2013）第6.2.18条</w:t>
      </w:r>
      <w:r>
        <w:rPr>
          <w:rFonts w:hint="eastAsia" w:cs="宋体"/>
          <w:sz w:val="28"/>
          <w:szCs w:val="28"/>
          <w:lang w:eastAsia="zh-CN"/>
        </w:rPr>
        <w:t>，</w:t>
      </w:r>
      <w:r>
        <w:rPr>
          <w:rFonts w:hint="eastAsia" w:ascii="宋体" w:hAnsi="宋体" w:cs="宋体"/>
          <w:sz w:val="28"/>
          <w:szCs w:val="28"/>
        </w:rPr>
        <w:t>感烟火灾探测器在格栅吊顶场所的设置，应符合下列规定：</w:t>
      </w:r>
    </w:p>
    <w:p w14:paraId="660572AC">
      <w:pPr>
        <w:pageBreakBefore w:val="0"/>
        <w:widowControl/>
        <w:kinsoku/>
        <w:wordWrap w:val="0"/>
        <w:topLinePunct w:val="0"/>
        <w:bidi w:val="0"/>
        <w:snapToGrid/>
        <w:ind w:firstLine="560" w:firstLineChars="200"/>
        <w:jc w:val="left"/>
        <w:textAlignment w:val="auto"/>
        <w:rPr>
          <w:rFonts w:hint="eastAsia" w:ascii="宋体" w:hAnsi="宋体" w:cs="宋体"/>
          <w:sz w:val="28"/>
          <w:szCs w:val="28"/>
        </w:rPr>
      </w:pPr>
      <w:r>
        <w:rPr>
          <w:rFonts w:hint="eastAsia" w:ascii="宋体" w:hAnsi="宋体" w:cs="宋体"/>
          <w:sz w:val="28"/>
          <w:szCs w:val="28"/>
        </w:rPr>
        <w:t>1</w:t>
      </w:r>
      <w:r>
        <w:rPr>
          <w:rFonts w:hint="eastAsia" w:ascii="宋体" w:hAnsi="宋体" w:cs="宋体"/>
          <w:sz w:val="28"/>
          <w:szCs w:val="28"/>
          <w:lang w:val="en-US" w:eastAsia="zh-CN"/>
        </w:rPr>
        <w:t xml:space="preserve"> </w:t>
      </w:r>
      <w:r>
        <w:rPr>
          <w:rFonts w:hint="eastAsia" w:ascii="宋体" w:hAnsi="宋体" w:cs="宋体"/>
          <w:sz w:val="28"/>
          <w:szCs w:val="28"/>
        </w:rPr>
        <w:t>镂空面积与总面积的比例不大于15%时，探测器应设置在吊顶下方。</w:t>
      </w:r>
    </w:p>
    <w:p w14:paraId="18EC054E">
      <w:pPr>
        <w:pageBreakBefore w:val="0"/>
        <w:kinsoku/>
        <w:wordWrap w:val="0"/>
        <w:topLinePunct w:val="0"/>
        <w:autoSpaceDE w:val="0"/>
        <w:autoSpaceDN w:val="0"/>
        <w:bidi w:val="0"/>
        <w:adjustRightInd w:val="0"/>
        <w:snapToGrid/>
        <w:ind w:firstLine="560" w:firstLineChars="200"/>
        <w:jc w:val="left"/>
        <w:textAlignment w:val="auto"/>
        <w:rPr>
          <w:rFonts w:hint="eastAsia" w:ascii="宋体" w:hAnsi="宋体" w:cs="宋体"/>
          <w:sz w:val="28"/>
          <w:szCs w:val="28"/>
        </w:rPr>
      </w:pPr>
      <w:r>
        <w:rPr>
          <w:rFonts w:hint="eastAsia" w:ascii="宋体" w:hAnsi="宋体" w:cs="宋体"/>
          <w:sz w:val="28"/>
          <w:szCs w:val="28"/>
        </w:rPr>
        <w:t>2</w:t>
      </w:r>
      <w:r>
        <w:rPr>
          <w:rFonts w:hint="eastAsia" w:ascii="宋体" w:hAnsi="宋体" w:cs="宋体"/>
          <w:sz w:val="28"/>
          <w:szCs w:val="28"/>
          <w:lang w:val="en-US" w:eastAsia="zh-CN"/>
        </w:rPr>
        <w:t xml:space="preserve"> </w:t>
      </w:r>
      <w:r>
        <w:rPr>
          <w:rFonts w:hint="eastAsia" w:ascii="宋体" w:hAnsi="宋体" w:cs="宋体"/>
          <w:sz w:val="28"/>
          <w:szCs w:val="28"/>
        </w:rPr>
        <w:t>镂空面积与总面积的比例大于30%时，探测器应设置在吊顶上方。</w:t>
      </w:r>
    </w:p>
    <w:p w14:paraId="7360455F">
      <w:pPr>
        <w:pageBreakBefore w:val="0"/>
        <w:kinsoku/>
        <w:wordWrap w:val="0"/>
        <w:topLinePunct w:val="0"/>
        <w:autoSpaceDE w:val="0"/>
        <w:autoSpaceDN w:val="0"/>
        <w:bidi w:val="0"/>
        <w:adjustRightInd w:val="0"/>
        <w:snapToGrid/>
        <w:ind w:firstLine="560" w:firstLineChars="200"/>
        <w:jc w:val="left"/>
        <w:textAlignment w:val="auto"/>
        <w:rPr>
          <w:rFonts w:hint="eastAsia" w:ascii="宋体" w:hAnsi="宋体" w:cs="宋体"/>
          <w:sz w:val="28"/>
          <w:szCs w:val="28"/>
        </w:rPr>
      </w:pPr>
      <w:r>
        <w:rPr>
          <w:rFonts w:hint="eastAsia" w:ascii="宋体" w:hAnsi="宋体" w:cs="宋体"/>
          <w:sz w:val="28"/>
          <w:szCs w:val="28"/>
        </w:rPr>
        <w:t>3 镂空面积与总面积的比例为15%～30%时，探削器的设置部位应根据实际试验结果确定。</w:t>
      </w:r>
    </w:p>
    <w:p w14:paraId="143D58C0">
      <w:pPr>
        <w:pageBreakBefore w:val="0"/>
        <w:kinsoku/>
        <w:wordWrap w:val="0"/>
        <w:topLinePunct w:val="0"/>
        <w:autoSpaceDE w:val="0"/>
        <w:autoSpaceDN w:val="0"/>
        <w:bidi w:val="0"/>
        <w:adjustRightInd w:val="0"/>
        <w:snapToGrid/>
        <w:ind w:firstLine="560" w:firstLineChars="200"/>
        <w:jc w:val="left"/>
        <w:textAlignment w:val="auto"/>
        <w:rPr>
          <w:rFonts w:hint="eastAsia" w:ascii="宋体" w:hAnsi="宋体" w:cs="宋体"/>
          <w:sz w:val="28"/>
          <w:szCs w:val="28"/>
        </w:rPr>
      </w:pPr>
      <w:r>
        <w:rPr>
          <w:rFonts w:hint="eastAsia" w:ascii="宋体" w:hAnsi="宋体" w:cs="宋体"/>
          <w:sz w:val="28"/>
          <w:szCs w:val="28"/>
        </w:rPr>
        <w:t>4 探测器设置在吊顶上方且火警确认灯无法观察时，应在吊顶下方设置火警确认灯。</w:t>
      </w:r>
    </w:p>
    <w:p w14:paraId="772BE434">
      <w:pPr>
        <w:pageBreakBefore w:val="0"/>
        <w:kinsoku/>
        <w:wordWrap w:val="0"/>
        <w:topLinePunct w:val="0"/>
        <w:autoSpaceDE w:val="0"/>
        <w:autoSpaceDN w:val="0"/>
        <w:bidi w:val="0"/>
        <w:adjustRightInd w:val="0"/>
        <w:snapToGrid/>
        <w:ind w:firstLine="560" w:firstLineChars="200"/>
        <w:jc w:val="left"/>
        <w:textAlignment w:val="auto"/>
        <w:rPr>
          <w:rFonts w:hint="eastAsia" w:ascii="宋体" w:hAnsi="宋体" w:cs="宋体"/>
          <w:sz w:val="28"/>
          <w:szCs w:val="28"/>
        </w:rPr>
      </w:pPr>
      <w:r>
        <w:rPr>
          <w:rFonts w:hint="eastAsia" w:ascii="宋体" w:hAnsi="宋体" w:cs="宋体"/>
          <w:sz w:val="28"/>
          <w:szCs w:val="28"/>
        </w:rPr>
        <w:t>5 地铁站台等有活塞风影响的场所，镂空面积与总面积的比例为30%～70%时，提测器宜同时设置在吊顶上方和下方。</w:t>
      </w:r>
    </w:p>
    <w:p w14:paraId="097735B2">
      <w:pPr>
        <w:pStyle w:val="9"/>
        <w:pageBreakBefore w:val="0"/>
        <w:kinsoku/>
        <w:wordWrap w:val="0"/>
        <w:topLinePunct w:val="0"/>
        <w:bidi w:val="0"/>
        <w:snapToGrid/>
        <w:spacing w:beforeAutospacing="0" w:afterAutospacing="0" w:line="240" w:lineRule="auto"/>
        <w:ind w:firstLine="560" w:firstLineChars="200"/>
        <w:textAlignment w:val="auto"/>
        <w:rPr>
          <w:rFonts w:hint="eastAsia" w:ascii="宋体" w:hAnsi="宋体" w:cs="宋体"/>
          <w:sz w:val="28"/>
          <w:szCs w:val="28"/>
        </w:rPr>
      </w:pPr>
      <w:r>
        <w:rPr>
          <w:rFonts w:hint="eastAsia"/>
          <w:sz w:val="28"/>
          <w:szCs w:val="28"/>
        </w:rPr>
        <w:t>案例：</w:t>
      </w:r>
      <w:r>
        <w:rPr>
          <w:rFonts w:hint="eastAsia" w:ascii="宋体" w:hAnsi="宋体" w:cs="宋体"/>
          <w:sz w:val="28"/>
          <w:szCs w:val="28"/>
        </w:rPr>
        <w:t>某车站站厅公共区采用格栅吊顶与封闭吊顶相结合的装修方式，封闭吊顶下方未设置火灾探测器，格栅内设置的火灾探测器无法观察，未在吊顶下方设置</w:t>
      </w:r>
      <w:r>
        <w:rPr>
          <w:rFonts w:hint="eastAsia" w:ascii="宋体" w:hAnsi="宋体" w:cs="宋体"/>
          <w:sz w:val="28"/>
          <w:szCs w:val="28"/>
          <w:lang w:val="en-US" w:eastAsia="zh-CN"/>
        </w:rPr>
        <w:t>火警</w:t>
      </w:r>
      <w:r>
        <w:rPr>
          <w:rFonts w:hint="eastAsia" w:ascii="宋体" w:hAnsi="宋体" w:cs="宋体"/>
          <w:sz w:val="28"/>
          <w:szCs w:val="28"/>
        </w:rPr>
        <w:t>确认灯</w:t>
      </w:r>
      <w:r>
        <w:rPr>
          <w:rFonts w:hint="eastAsia" w:cs="宋体"/>
          <w:color w:val="000000"/>
          <w:sz w:val="28"/>
          <w:lang w:eastAsia="zh-CN"/>
        </w:rPr>
        <w:t>，不满足上述规范要求</w:t>
      </w:r>
      <w:r>
        <w:rPr>
          <w:rFonts w:hint="eastAsia" w:ascii="宋体" w:hAnsi="宋体" w:cs="宋体"/>
          <w:sz w:val="28"/>
          <w:szCs w:val="28"/>
        </w:rPr>
        <w:t>。</w:t>
      </w:r>
    </w:p>
    <w:p w14:paraId="65647BFB">
      <w:pPr>
        <w:pStyle w:val="9"/>
        <w:pageBreakBefore w:val="0"/>
        <w:kinsoku/>
        <w:wordWrap w:val="0"/>
        <w:topLinePunct w:val="0"/>
        <w:bidi w:val="0"/>
        <w:snapToGrid/>
        <w:spacing w:beforeAutospacing="0" w:afterAutospacing="0" w:line="240" w:lineRule="auto"/>
        <w:ind w:firstLine="560" w:firstLineChars="200"/>
        <w:textAlignment w:val="auto"/>
        <w:rPr>
          <w:rFonts w:hint="eastAsia" w:ascii="宋体" w:hAnsi="宋体" w:cs="宋体"/>
          <w:sz w:val="28"/>
          <w:szCs w:val="28"/>
        </w:rPr>
      </w:pPr>
    </w:p>
    <w:p w14:paraId="37A23A96">
      <w:pPr>
        <w:pStyle w:val="9"/>
        <w:pageBreakBefore w:val="0"/>
        <w:kinsoku/>
        <w:wordWrap w:val="0"/>
        <w:topLinePunct w:val="0"/>
        <w:bidi w:val="0"/>
        <w:snapToGrid/>
        <w:spacing w:beforeAutospacing="0" w:afterAutospacing="0" w:line="240" w:lineRule="auto"/>
        <w:ind w:firstLine="560" w:firstLineChars="200"/>
        <w:textAlignment w:val="auto"/>
        <w:rPr>
          <w:rFonts w:hint="eastAsia"/>
          <w:sz w:val="28"/>
          <w:szCs w:val="28"/>
        </w:rPr>
      </w:pPr>
      <w:r>
        <w:rPr>
          <w:rFonts w:hint="eastAsia"/>
          <w:sz w:val="28"/>
          <w:szCs w:val="28"/>
        </w:rPr>
        <w:t>4.0.</w:t>
      </w:r>
      <w:r>
        <w:rPr>
          <w:rFonts w:hint="eastAsia"/>
          <w:sz w:val="28"/>
          <w:szCs w:val="28"/>
          <w:lang w:val="en-US" w:eastAsia="zh-CN"/>
        </w:rPr>
        <w:t xml:space="preserve">16 </w:t>
      </w:r>
      <w:r>
        <w:rPr>
          <w:rFonts w:hint="eastAsia"/>
          <w:sz w:val="28"/>
          <w:szCs w:val="28"/>
        </w:rPr>
        <w:t>火灾探测器距离送风口的距离小于1.5米，不满足规范要求。</w:t>
      </w:r>
    </w:p>
    <w:p w14:paraId="6B38F24A">
      <w:pPr>
        <w:pStyle w:val="9"/>
        <w:pageBreakBefore w:val="0"/>
        <w:kinsoku/>
        <w:wordWrap w:val="0"/>
        <w:topLinePunct w:val="0"/>
        <w:bidi w:val="0"/>
        <w:snapToGrid/>
        <w:spacing w:beforeAutospacing="0" w:afterAutospacing="0" w:line="240" w:lineRule="auto"/>
        <w:ind w:firstLine="562" w:firstLineChars="200"/>
        <w:textAlignment w:val="auto"/>
        <w:rPr>
          <w:rFonts w:hint="eastAsia"/>
          <w:sz w:val="28"/>
          <w:szCs w:val="28"/>
        </w:rPr>
      </w:pPr>
      <w:r>
        <w:rPr>
          <w:rFonts w:hint="eastAsia"/>
          <w:b/>
          <w:sz w:val="28"/>
          <w:szCs w:val="28"/>
        </w:rPr>
        <w:t>依据：</w:t>
      </w:r>
      <w:r>
        <w:rPr>
          <w:rFonts w:hint="eastAsia"/>
          <w:sz w:val="28"/>
          <w:szCs w:val="28"/>
        </w:rPr>
        <w:t>《火灾自动报警系统设计规范》</w:t>
      </w:r>
      <w:r>
        <w:rPr>
          <w:rFonts w:hint="eastAsia"/>
          <w:sz w:val="28"/>
          <w:szCs w:val="28"/>
          <w:lang w:eastAsia="zh-CN"/>
        </w:rPr>
        <w:t>（</w:t>
      </w:r>
      <w:r>
        <w:rPr>
          <w:rFonts w:hint="eastAsia"/>
          <w:sz w:val="28"/>
          <w:szCs w:val="28"/>
        </w:rPr>
        <w:t>GB50116-2013</w:t>
      </w:r>
      <w:r>
        <w:rPr>
          <w:rFonts w:hint="eastAsia"/>
          <w:sz w:val="28"/>
          <w:szCs w:val="28"/>
          <w:lang w:eastAsia="zh-CN"/>
        </w:rPr>
        <w:t>）</w:t>
      </w:r>
      <w:r>
        <w:rPr>
          <w:rFonts w:hint="eastAsia"/>
          <w:sz w:val="28"/>
          <w:szCs w:val="28"/>
        </w:rPr>
        <w:t>第6.2.8条</w:t>
      </w:r>
      <w:r>
        <w:rPr>
          <w:rFonts w:hint="eastAsia"/>
          <w:sz w:val="28"/>
          <w:szCs w:val="28"/>
          <w:lang w:eastAsia="zh-CN"/>
        </w:rPr>
        <w:t>，</w:t>
      </w:r>
      <w:r>
        <w:rPr>
          <w:rFonts w:hint="eastAsia"/>
          <w:sz w:val="28"/>
          <w:szCs w:val="28"/>
        </w:rPr>
        <w:t>点型探测器至空调送风口边的水平距离不应小于1.5</w:t>
      </w:r>
      <w:r>
        <w:rPr>
          <w:rFonts w:hint="eastAsia"/>
          <w:sz w:val="28"/>
          <w:szCs w:val="28"/>
          <w:lang w:val="en-US" w:eastAsia="zh-CN"/>
        </w:rPr>
        <w:t>米</w:t>
      </w:r>
      <w:r>
        <w:rPr>
          <w:rFonts w:hint="eastAsia"/>
          <w:sz w:val="28"/>
          <w:szCs w:val="28"/>
        </w:rPr>
        <w:t>，并宜接近回风口安装。探测器至多孔送风顶棚孔口的水平距离不应小于0.5</w:t>
      </w:r>
      <w:r>
        <w:rPr>
          <w:rFonts w:hint="eastAsia"/>
          <w:sz w:val="28"/>
          <w:szCs w:val="28"/>
          <w:lang w:val="en-US" w:eastAsia="zh-CN"/>
        </w:rPr>
        <w:t>米</w:t>
      </w:r>
      <w:r>
        <w:rPr>
          <w:rFonts w:hint="eastAsia"/>
          <w:sz w:val="28"/>
          <w:szCs w:val="28"/>
        </w:rPr>
        <w:t>。</w:t>
      </w:r>
    </w:p>
    <w:p w14:paraId="17A5C086">
      <w:pPr>
        <w:pStyle w:val="9"/>
        <w:pageBreakBefore w:val="0"/>
        <w:kinsoku/>
        <w:wordWrap w:val="0"/>
        <w:topLinePunct w:val="0"/>
        <w:bidi w:val="0"/>
        <w:snapToGrid/>
        <w:spacing w:beforeAutospacing="0" w:afterAutospacing="0" w:line="240" w:lineRule="auto"/>
        <w:ind w:firstLine="560" w:firstLineChars="200"/>
        <w:textAlignment w:val="auto"/>
        <w:rPr>
          <w:rFonts w:hint="eastAsia"/>
          <w:sz w:val="28"/>
          <w:szCs w:val="28"/>
        </w:rPr>
      </w:pPr>
      <w:r>
        <w:rPr>
          <w:rFonts w:hint="eastAsia"/>
          <w:sz w:val="28"/>
          <w:szCs w:val="28"/>
        </w:rPr>
        <w:t>案例：某车站A通道处火灾探测器距离送风口的距离小于1.5米</w:t>
      </w:r>
      <w:r>
        <w:rPr>
          <w:rFonts w:hint="eastAsia" w:cs="宋体"/>
          <w:color w:val="000000"/>
          <w:sz w:val="28"/>
          <w:lang w:eastAsia="zh-CN"/>
        </w:rPr>
        <w:t>，不满足上述规范要求</w:t>
      </w:r>
      <w:r>
        <w:rPr>
          <w:rFonts w:hint="eastAsia"/>
          <w:sz w:val="28"/>
          <w:szCs w:val="28"/>
        </w:rPr>
        <w:t xml:space="preserve">。 </w:t>
      </w:r>
    </w:p>
    <w:p w14:paraId="7B2FBEE8">
      <w:pPr>
        <w:pStyle w:val="9"/>
        <w:pageBreakBefore w:val="0"/>
        <w:kinsoku/>
        <w:wordWrap w:val="0"/>
        <w:topLinePunct w:val="0"/>
        <w:bidi w:val="0"/>
        <w:snapToGrid/>
        <w:spacing w:beforeAutospacing="0" w:afterAutospacing="0" w:line="240" w:lineRule="auto"/>
        <w:ind w:firstLine="480" w:firstLineChars="200"/>
        <w:jc w:val="center"/>
        <w:textAlignment w:val="auto"/>
        <w:rPr>
          <w:rFonts w:hint="eastAsia"/>
          <w:sz w:val="24"/>
          <w:szCs w:val="32"/>
        </w:rPr>
      </w:pPr>
    </w:p>
    <w:p w14:paraId="6F700578">
      <w:pPr>
        <w:pStyle w:val="9"/>
        <w:pageBreakBefore w:val="0"/>
        <w:kinsoku/>
        <w:wordWrap w:val="0"/>
        <w:topLinePunct w:val="0"/>
        <w:bidi w:val="0"/>
        <w:snapToGrid/>
        <w:spacing w:beforeAutospacing="0" w:afterAutospacing="0" w:line="240" w:lineRule="auto"/>
        <w:ind w:firstLine="560" w:firstLineChars="200"/>
        <w:textAlignment w:val="auto"/>
        <w:rPr>
          <w:rFonts w:hint="eastAsia"/>
          <w:sz w:val="28"/>
          <w:szCs w:val="28"/>
        </w:rPr>
      </w:pPr>
      <w:r>
        <w:rPr>
          <w:rFonts w:hint="eastAsia"/>
          <w:sz w:val="28"/>
          <w:szCs w:val="28"/>
        </w:rPr>
        <w:t>4.0.17</w:t>
      </w:r>
      <w:r>
        <w:rPr>
          <w:rFonts w:hint="eastAsia"/>
          <w:sz w:val="28"/>
          <w:szCs w:val="28"/>
          <w:lang w:val="en-US" w:eastAsia="zh-CN"/>
        </w:rPr>
        <w:t xml:space="preserve"> </w:t>
      </w:r>
      <w:r>
        <w:rPr>
          <w:rFonts w:hint="eastAsia"/>
          <w:sz w:val="28"/>
          <w:szCs w:val="28"/>
        </w:rPr>
        <w:t>每只总线短路隔离器保护的火灾探测器、手动火灾报警按钮和模块等消防设备的总数超过32点。</w:t>
      </w:r>
    </w:p>
    <w:p w14:paraId="7791A75C">
      <w:pPr>
        <w:pStyle w:val="9"/>
        <w:pageBreakBefore w:val="0"/>
        <w:kinsoku/>
        <w:wordWrap w:val="0"/>
        <w:topLinePunct w:val="0"/>
        <w:bidi w:val="0"/>
        <w:snapToGrid/>
        <w:spacing w:beforeAutospacing="0" w:afterAutospacing="0" w:line="240" w:lineRule="auto"/>
        <w:ind w:firstLine="562" w:firstLineChars="200"/>
        <w:textAlignment w:val="auto"/>
        <w:rPr>
          <w:rFonts w:hint="eastAsia"/>
          <w:sz w:val="28"/>
          <w:szCs w:val="28"/>
        </w:rPr>
      </w:pPr>
      <w:r>
        <w:rPr>
          <w:rFonts w:hint="eastAsia"/>
          <w:b/>
          <w:sz w:val="28"/>
          <w:szCs w:val="28"/>
        </w:rPr>
        <w:t>依据：</w:t>
      </w:r>
      <w:r>
        <w:rPr>
          <w:rFonts w:hint="eastAsia"/>
          <w:sz w:val="28"/>
          <w:szCs w:val="28"/>
        </w:rPr>
        <w:t>《火灾自动报警系统设计规范》</w:t>
      </w:r>
      <w:r>
        <w:rPr>
          <w:rFonts w:hint="eastAsia"/>
          <w:sz w:val="28"/>
          <w:szCs w:val="28"/>
          <w:lang w:eastAsia="zh-CN"/>
        </w:rPr>
        <w:t>（</w:t>
      </w:r>
      <w:r>
        <w:rPr>
          <w:rFonts w:hint="eastAsia"/>
          <w:sz w:val="28"/>
          <w:szCs w:val="28"/>
        </w:rPr>
        <w:t>GB50116-2013</w:t>
      </w:r>
      <w:r>
        <w:rPr>
          <w:rFonts w:hint="eastAsia"/>
          <w:sz w:val="28"/>
          <w:szCs w:val="28"/>
          <w:lang w:eastAsia="zh-CN"/>
        </w:rPr>
        <w:t>）</w:t>
      </w:r>
      <w:r>
        <w:rPr>
          <w:rFonts w:hint="eastAsia"/>
          <w:sz w:val="28"/>
          <w:szCs w:val="28"/>
        </w:rPr>
        <w:t>第3.1.6条</w:t>
      </w:r>
      <w:r>
        <w:rPr>
          <w:rFonts w:hint="eastAsia"/>
          <w:sz w:val="28"/>
          <w:szCs w:val="28"/>
          <w:lang w:eastAsia="zh-CN"/>
        </w:rPr>
        <w:t>，</w:t>
      </w:r>
      <w:r>
        <w:rPr>
          <w:rFonts w:hint="eastAsia"/>
          <w:sz w:val="28"/>
          <w:szCs w:val="28"/>
        </w:rPr>
        <w:t>系统总线上应设置总线短路隔离器,每只总线短路隔离器保护的火灾探测器、手动火灾报警按钮和模块等消防设备的总数不应超过32点</w:t>
      </w:r>
      <w:r>
        <w:rPr>
          <w:rFonts w:hint="eastAsia"/>
          <w:sz w:val="28"/>
          <w:szCs w:val="28"/>
          <w:lang w:eastAsia="zh-CN"/>
        </w:rPr>
        <w:t>；</w:t>
      </w:r>
      <w:r>
        <w:rPr>
          <w:rFonts w:hint="eastAsia"/>
          <w:sz w:val="28"/>
          <w:szCs w:val="28"/>
        </w:rPr>
        <w:t>总线穿越防火分区时,应在穿越处设置总线短路隔离器。</w:t>
      </w:r>
    </w:p>
    <w:p w14:paraId="623AF569">
      <w:pPr>
        <w:pStyle w:val="9"/>
        <w:pageBreakBefore w:val="0"/>
        <w:kinsoku/>
        <w:wordWrap w:val="0"/>
        <w:topLinePunct w:val="0"/>
        <w:bidi w:val="0"/>
        <w:snapToGrid/>
        <w:spacing w:beforeAutospacing="0" w:afterAutospacing="0" w:line="240" w:lineRule="auto"/>
        <w:ind w:firstLine="560" w:firstLineChars="200"/>
        <w:textAlignment w:val="auto"/>
        <w:rPr>
          <w:rFonts w:hint="eastAsia"/>
          <w:sz w:val="28"/>
          <w:szCs w:val="28"/>
        </w:rPr>
      </w:pPr>
      <w:r>
        <w:rPr>
          <w:rFonts w:hint="eastAsia"/>
          <w:sz w:val="28"/>
          <w:szCs w:val="28"/>
        </w:rPr>
        <w:t>案例：某站车控室外回路短路隔离器保护设备数量超过32</w:t>
      </w:r>
      <w:r>
        <w:rPr>
          <w:rFonts w:hint="eastAsia"/>
          <w:sz w:val="28"/>
          <w:szCs w:val="28"/>
          <w:lang w:val="en-US" w:eastAsia="zh-CN"/>
        </w:rPr>
        <w:t>点</w:t>
      </w:r>
      <w:r>
        <w:rPr>
          <w:rFonts w:hint="eastAsia" w:cs="宋体"/>
          <w:color w:val="000000"/>
          <w:sz w:val="28"/>
          <w:lang w:eastAsia="zh-CN"/>
        </w:rPr>
        <w:t>，不满足上述规范要求</w:t>
      </w:r>
      <w:r>
        <w:rPr>
          <w:rFonts w:hint="eastAsia"/>
          <w:sz w:val="28"/>
          <w:szCs w:val="28"/>
        </w:rPr>
        <w:t xml:space="preserve">。 </w:t>
      </w:r>
    </w:p>
    <w:p w14:paraId="42E0894A">
      <w:pPr>
        <w:pStyle w:val="19"/>
        <w:pageBreakBefore w:val="0"/>
        <w:kinsoku/>
        <w:wordWrap w:val="0"/>
        <w:topLinePunct w:val="0"/>
        <w:bidi w:val="0"/>
        <w:snapToGrid/>
        <w:ind w:left="420" w:firstLine="0" w:firstLineChars="0"/>
        <w:jc w:val="center"/>
        <w:textAlignment w:val="auto"/>
        <w:rPr>
          <w:rFonts w:hint="eastAsia" w:ascii="宋体" w:hAnsi="宋体" w:cs="宋体"/>
          <w:sz w:val="28"/>
          <w:szCs w:val="28"/>
        </w:rPr>
      </w:pPr>
    </w:p>
    <w:p w14:paraId="304545BF">
      <w:pPr>
        <w:pStyle w:val="9"/>
        <w:pageBreakBefore w:val="0"/>
        <w:kinsoku/>
        <w:wordWrap w:val="0"/>
        <w:topLinePunct w:val="0"/>
        <w:bidi w:val="0"/>
        <w:snapToGrid/>
        <w:spacing w:beforeAutospacing="0" w:afterAutospacing="0" w:line="240" w:lineRule="auto"/>
        <w:ind w:firstLine="560" w:firstLineChars="200"/>
        <w:textAlignment w:val="auto"/>
        <w:rPr>
          <w:rFonts w:hint="eastAsia"/>
          <w:sz w:val="28"/>
          <w:szCs w:val="28"/>
        </w:rPr>
      </w:pPr>
      <w:r>
        <w:rPr>
          <w:rFonts w:hint="eastAsia"/>
          <w:sz w:val="28"/>
          <w:szCs w:val="28"/>
        </w:rPr>
        <w:t>4.0.18</w:t>
      </w:r>
      <w:r>
        <w:rPr>
          <w:rFonts w:hint="eastAsia"/>
          <w:sz w:val="28"/>
          <w:szCs w:val="28"/>
          <w:lang w:val="en-US" w:eastAsia="zh-CN"/>
        </w:rPr>
        <w:t xml:space="preserve"> </w:t>
      </w:r>
      <w:r>
        <w:rPr>
          <w:rFonts w:hint="eastAsia"/>
          <w:sz w:val="28"/>
          <w:szCs w:val="28"/>
        </w:rPr>
        <w:t>车站安全出口防烟楼梯间及防烟前室附近未设置火灾声光警报器。</w:t>
      </w:r>
    </w:p>
    <w:p w14:paraId="3539DBF3">
      <w:pPr>
        <w:pStyle w:val="9"/>
        <w:pageBreakBefore w:val="0"/>
        <w:kinsoku/>
        <w:wordWrap w:val="0"/>
        <w:topLinePunct w:val="0"/>
        <w:bidi w:val="0"/>
        <w:snapToGrid/>
        <w:spacing w:beforeAutospacing="0" w:afterAutospacing="0" w:line="240" w:lineRule="auto"/>
        <w:ind w:firstLine="562" w:firstLineChars="200"/>
        <w:textAlignment w:val="auto"/>
        <w:rPr>
          <w:rFonts w:hint="eastAsia"/>
          <w:sz w:val="28"/>
          <w:szCs w:val="28"/>
        </w:rPr>
      </w:pPr>
      <w:r>
        <w:rPr>
          <w:rFonts w:hint="eastAsia"/>
          <w:b/>
          <w:sz w:val="28"/>
          <w:szCs w:val="28"/>
        </w:rPr>
        <w:t>依据：</w:t>
      </w:r>
      <w:r>
        <w:rPr>
          <w:rFonts w:hint="eastAsia"/>
          <w:sz w:val="28"/>
          <w:szCs w:val="28"/>
        </w:rPr>
        <w:t>《火灾自动报警系统设计规范》</w:t>
      </w:r>
      <w:r>
        <w:rPr>
          <w:rFonts w:hint="eastAsia"/>
          <w:sz w:val="28"/>
          <w:szCs w:val="28"/>
          <w:lang w:eastAsia="zh-CN"/>
        </w:rPr>
        <w:t>（</w:t>
      </w:r>
      <w:r>
        <w:rPr>
          <w:rFonts w:hint="eastAsia"/>
          <w:sz w:val="28"/>
          <w:szCs w:val="28"/>
        </w:rPr>
        <w:t>GB50116-2013</w:t>
      </w:r>
      <w:r>
        <w:rPr>
          <w:rFonts w:hint="eastAsia"/>
          <w:sz w:val="28"/>
          <w:szCs w:val="28"/>
          <w:lang w:eastAsia="zh-CN"/>
        </w:rPr>
        <w:t>）</w:t>
      </w:r>
      <w:r>
        <w:rPr>
          <w:rFonts w:hint="eastAsia"/>
          <w:sz w:val="28"/>
          <w:szCs w:val="28"/>
        </w:rPr>
        <w:t>第6.5.1条</w:t>
      </w:r>
      <w:r>
        <w:rPr>
          <w:rFonts w:hint="eastAsia"/>
          <w:sz w:val="28"/>
          <w:szCs w:val="28"/>
          <w:lang w:eastAsia="zh-CN"/>
        </w:rPr>
        <w:t>，</w:t>
      </w:r>
      <w:r>
        <w:rPr>
          <w:rFonts w:hint="eastAsia"/>
          <w:sz w:val="28"/>
          <w:szCs w:val="28"/>
        </w:rPr>
        <w:t>火灾光警报器应设置在每个楼层的楼梯口、消防电梯前室、建筑内部拐角等处的明显部位，且不宜与安全出口指示标志灯具设置在同一面墙上。</w:t>
      </w:r>
    </w:p>
    <w:p w14:paraId="27518BEF">
      <w:pPr>
        <w:pStyle w:val="9"/>
        <w:pageBreakBefore w:val="0"/>
        <w:kinsoku/>
        <w:wordWrap w:val="0"/>
        <w:topLinePunct w:val="0"/>
        <w:bidi w:val="0"/>
        <w:snapToGrid/>
        <w:spacing w:beforeAutospacing="0" w:afterAutospacing="0" w:line="240" w:lineRule="auto"/>
        <w:ind w:firstLine="560" w:firstLineChars="200"/>
        <w:textAlignment w:val="auto"/>
        <w:rPr>
          <w:rFonts w:hint="eastAsia"/>
          <w:sz w:val="28"/>
          <w:szCs w:val="28"/>
        </w:rPr>
      </w:pPr>
      <w:r>
        <w:rPr>
          <w:rFonts w:hint="eastAsia"/>
          <w:sz w:val="28"/>
          <w:szCs w:val="28"/>
        </w:rPr>
        <w:t>案例：某车站安全出口防烟楼梯间及防烟前室附近未设置火灾声光警报器</w:t>
      </w:r>
      <w:r>
        <w:rPr>
          <w:rFonts w:hint="eastAsia" w:cs="宋体"/>
          <w:color w:val="000000"/>
          <w:sz w:val="28"/>
          <w:lang w:eastAsia="zh-CN"/>
        </w:rPr>
        <w:t>，不满足上述规范要求</w:t>
      </w:r>
      <w:r>
        <w:rPr>
          <w:rFonts w:hint="eastAsia"/>
          <w:sz w:val="28"/>
          <w:szCs w:val="28"/>
        </w:rPr>
        <w:t>。</w:t>
      </w:r>
    </w:p>
    <w:p w14:paraId="5A43B5AC">
      <w:pPr>
        <w:pStyle w:val="19"/>
        <w:pageBreakBefore w:val="0"/>
        <w:kinsoku/>
        <w:wordWrap w:val="0"/>
        <w:topLinePunct w:val="0"/>
        <w:bidi w:val="0"/>
        <w:snapToGrid/>
        <w:ind w:left="420" w:firstLine="0" w:firstLineChars="0"/>
        <w:jc w:val="center"/>
        <w:textAlignment w:val="auto"/>
        <w:rPr>
          <w:rFonts w:hint="eastAsia" w:ascii="宋体" w:hAnsi="宋体" w:cs="宋体"/>
          <w:sz w:val="28"/>
          <w:szCs w:val="28"/>
        </w:rPr>
      </w:pPr>
    </w:p>
    <w:p w14:paraId="2AE7EDC5">
      <w:pPr>
        <w:pageBreakBefore w:val="0"/>
        <w:kinsoku/>
        <w:wordWrap w:val="0"/>
        <w:topLinePunct w:val="0"/>
        <w:bidi w:val="0"/>
        <w:snapToGrid/>
        <w:ind w:firstLine="560" w:firstLineChars="200"/>
        <w:textAlignment w:val="auto"/>
        <w:rPr>
          <w:rFonts w:hint="eastAsia" w:ascii="宋体" w:hAnsi="宋体" w:cs="宋体"/>
          <w:spacing w:val="-4"/>
          <w:sz w:val="28"/>
          <w:szCs w:val="28"/>
        </w:rPr>
      </w:pPr>
      <w:r>
        <w:rPr>
          <w:rFonts w:hint="eastAsia" w:ascii="宋体" w:hAnsi="宋体" w:cs="宋体"/>
          <w:sz w:val="28"/>
          <w:szCs w:val="28"/>
        </w:rPr>
        <w:t>4.0.19</w:t>
      </w:r>
      <w:r>
        <w:rPr>
          <w:rFonts w:hint="eastAsia" w:ascii="宋体" w:hAnsi="宋体" w:cs="宋体"/>
          <w:sz w:val="28"/>
          <w:szCs w:val="28"/>
          <w:lang w:val="en-US" w:eastAsia="zh-CN"/>
        </w:rPr>
        <w:t xml:space="preserve"> </w:t>
      </w:r>
      <w:r>
        <w:rPr>
          <w:rFonts w:hint="eastAsia" w:ascii="宋体" w:hAnsi="宋体" w:cs="宋体"/>
          <w:spacing w:val="-4"/>
          <w:sz w:val="28"/>
          <w:szCs w:val="28"/>
        </w:rPr>
        <w:t>气体灭火保护区出口外上方设置的声光报警器的声信号与保护对象中设置的火灾声警报器的声信号无区别。</w:t>
      </w:r>
    </w:p>
    <w:p w14:paraId="1D54CC51">
      <w:pPr>
        <w:pageBreakBefore w:val="0"/>
        <w:kinsoku/>
        <w:wordWrap w:val="0"/>
        <w:topLinePunct w:val="0"/>
        <w:bidi w:val="0"/>
        <w:snapToGrid/>
        <w:ind w:firstLine="562" w:firstLineChars="200"/>
        <w:textAlignment w:val="auto"/>
        <w:rPr>
          <w:rFonts w:hint="eastAsia" w:ascii="宋体" w:hAnsi="宋体" w:cs="宋体"/>
          <w:sz w:val="28"/>
          <w:szCs w:val="28"/>
        </w:rPr>
      </w:pPr>
      <w:r>
        <w:rPr>
          <w:rFonts w:hint="eastAsia" w:ascii="宋体" w:hAnsi="宋体" w:cs="宋体"/>
          <w:b/>
          <w:bCs/>
          <w:sz w:val="28"/>
          <w:szCs w:val="28"/>
        </w:rPr>
        <w:t>依据：</w:t>
      </w:r>
      <w:r>
        <w:rPr>
          <w:rFonts w:hint="eastAsia" w:ascii="宋体" w:hAnsi="宋体" w:cs="宋体"/>
          <w:sz w:val="28"/>
          <w:szCs w:val="28"/>
        </w:rPr>
        <w:t>《火灾自动报警系统设计规范》（GB50116-2013）第4.4.2条</w:t>
      </w:r>
      <w:r>
        <w:rPr>
          <w:rFonts w:hint="eastAsia" w:ascii="宋体" w:hAnsi="宋体" w:cs="宋体"/>
          <w:sz w:val="28"/>
          <w:szCs w:val="28"/>
          <w:lang w:val="en-US" w:eastAsia="zh-CN"/>
        </w:rPr>
        <w:t>第5款</w:t>
      </w:r>
      <w:r>
        <w:rPr>
          <w:rFonts w:hint="eastAsia" w:ascii="宋体" w:hAnsi="宋体" w:cs="宋体"/>
          <w:sz w:val="28"/>
          <w:szCs w:val="28"/>
          <w:lang w:eastAsia="zh-CN"/>
        </w:rPr>
        <w:t>，</w:t>
      </w:r>
      <w:r>
        <w:rPr>
          <w:rFonts w:hint="eastAsia" w:ascii="宋体" w:hAnsi="宋体" w:cs="宋体"/>
          <w:sz w:val="28"/>
          <w:szCs w:val="28"/>
        </w:rPr>
        <w:t>气体灭火防护区出口外上方应设置表示气体喷洒的火灾声光警报器，指示气体释放的声信号应与该保护对象中设置的火灾声警报器的声信号有明显区别。</w:t>
      </w:r>
    </w:p>
    <w:p w14:paraId="6060968A">
      <w:pPr>
        <w:pageBreakBefore w:val="0"/>
        <w:kinsoku/>
        <w:wordWrap w:val="0"/>
        <w:topLinePunct w:val="0"/>
        <w:bidi w:val="0"/>
        <w:snapToGrid/>
        <w:ind w:firstLine="560" w:firstLineChars="200"/>
        <w:jc w:val="left"/>
        <w:textAlignment w:val="auto"/>
        <w:rPr>
          <w:rFonts w:hint="eastAsia" w:ascii="宋体" w:hAnsi="宋体" w:cs="宋体"/>
          <w:sz w:val="28"/>
          <w:szCs w:val="28"/>
        </w:rPr>
      </w:pPr>
      <w:r>
        <w:rPr>
          <w:rFonts w:hint="eastAsia" w:ascii="宋体" w:hAnsi="宋体" w:cs="宋体"/>
          <w:sz w:val="28"/>
          <w:szCs w:val="28"/>
        </w:rPr>
        <w:t>案例：某车站气体灭火防护区出口外上方应设置表示气体喷洒的火灾声光警报器与该保护对象中设置的火灾声警报器的型号一致，导致声信号无区别</w:t>
      </w:r>
      <w:r>
        <w:rPr>
          <w:rFonts w:hint="eastAsia" w:ascii="宋体" w:hAnsi="宋体" w:cs="宋体"/>
          <w:color w:val="000000"/>
          <w:sz w:val="28"/>
          <w:lang w:eastAsia="zh-CN"/>
        </w:rPr>
        <w:t>，不满足上述规范要求</w:t>
      </w:r>
      <w:r>
        <w:rPr>
          <w:rFonts w:hint="eastAsia" w:ascii="宋体" w:hAnsi="宋体" w:cs="宋体"/>
          <w:sz w:val="28"/>
          <w:szCs w:val="28"/>
        </w:rPr>
        <w:t>。</w:t>
      </w:r>
    </w:p>
    <w:p w14:paraId="638C6459">
      <w:pPr>
        <w:pageBreakBefore w:val="0"/>
        <w:kinsoku/>
        <w:wordWrap w:val="0"/>
        <w:topLinePunct w:val="0"/>
        <w:bidi w:val="0"/>
        <w:snapToGrid/>
        <w:jc w:val="left"/>
        <w:textAlignment w:val="auto"/>
        <w:rPr>
          <w:rFonts w:hint="eastAsia" w:ascii="宋体" w:hAnsi="宋体" w:cs="宋体"/>
          <w:sz w:val="28"/>
          <w:szCs w:val="28"/>
        </w:rPr>
      </w:pPr>
      <w:r>
        <w:rPr>
          <w:rFonts w:hint="eastAsia" w:ascii="宋体" w:hAnsi="宋体" w:cs="宋体"/>
          <w:sz w:val="28"/>
          <w:szCs w:val="28"/>
        </w:rPr>
        <w:br w:type="page"/>
      </w:r>
    </w:p>
    <w:p w14:paraId="25807D93">
      <w:pPr>
        <w:wordWrap w:val="0"/>
        <w:overflowPunct w:val="0"/>
        <w:jc w:val="center"/>
        <w:outlineLvl w:val="0"/>
        <w:rPr>
          <w:rFonts w:ascii="方正黑体_GBK" w:eastAsia="方正黑体_GBK" w:cs="方正黑体_GBK"/>
          <w:sz w:val="32"/>
          <w:szCs w:val="32"/>
        </w:rPr>
      </w:pPr>
      <w:bookmarkStart w:id="2" w:name="_Toc31085"/>
      <w:bookmarkStart w:id="3" w:name="_Toc22936"/>
      <w:r>
        <w:rPr>
          <w:rFonts w:hint="eastAsia" w:ascii="方正黑体_GBK" w:eastAsia="方正黑体_GBK"/>
          <w:sz w:val="32"/>
          <w:szCs w:val="32"/>
        </w:rPr>
        <w:t>5 暖通</w:t>
      </w:r>
      <w:bookmarkEnd w:id="2"/>
      <w:bookmarkEnd w:id="3"/>
    </w:p>
    <w:p w14:paraId="5A651200">
      <w:pPr>
        <w:wordWrap w:val="0"/>
        <w:ind w:firstLine="560"/>
        <w:jc w:val="left"/>
        <w:rPr>
          <w:rFonts w:ascii="宋体" w:hAnsi="宋体" w:cs="宋体"/>
          <w:sz w:val="28"/>
          <w:szCs w:val="28"/>
        </w:rPr>
      </w:pPr>
      <w:r>
        <w:rPr>
          <w:rFonts w:hint="eastAsia" w:ascii="宋体" w:hAnsi="宋体" w:cs="宋体"/>
          <w:sz w:val="28"/>
          <w:szCs w:val="28"/>
        </w:rPr>
        <w:t>5.0.1 前室设置的常闭式加压送风口，</w:t>
      </w:r>
      <w:r>
        <w:rPr>
          <w:rFonts w:hint="eastAsia" w:ascii="宋体" w:hAnsi="宋体" w:cs="宋体"/>
          <w:sz w:val="28"/>
          <w:szCs w:val="28"/>
          <w:lang w:val="en-US" w:eastAsia="zh-CN"/>
        </w:rPr>
        <w:t>未</w:t>
      </w:r>
      <w:r>
        <w:rPr>
          <w:rFonts w:hint="eastAsia" w:ascii="宋体" w:hAnsi="宋体" w:cs="宋体"/>
          <w:sz w:val="28"/>
          <w:szCs w:val="28"/>
        </w:rPr>
        <w:t>相应</w:t>
      </w:r>
      <w:r>
        <w:rPr>
          <w:rFonts w:hint="eastAsia" w:ascii="宋体" w:hAnsi="宋体" w:cs="宋体"/>
          <w:sz w:val="28"/>
          <w:szCs w:val="28"/>
          <w:lang w:val="en-US" w:eastAsia="zh-CN"/>
        </w:rPr>
        <w:t>地</w:t>
      </w:r>
      <w:r>
        <w:rPr>
          <w:rFonts w:hint="eastAsia" w:ascii="宋体" w:hAnsi="宋体" w:cs="宋体"/>
          <w:sz w:val="28"/>
          <w:szCs w:val="28"/>
        </w:rPr>
        <w:t>设置手动开启装置。</w:t>
      </w:r>
    </w:p>
    <w:p w14:paraId="4B37E546">
      <w:pPr>
        <w:wordWrap w:val="0"/>
        <w:ind w:firstLine="562"/>
        <w:jc w:val="left"/>
        <w:rPr>
          <w:rFonts w:ascii="宋体" w:hAnsi="宋体" w:cs="宋体"/>
          <w:sz w:val="28"/>
          <w:szCs w:val="28"/>
        </w:rPr>
      </w:pPr>
      <w:r>
        <w:rPr>
          <w:rFonts w:hint="eastAsia" w:ascii="宋体" w:hAnsi="宋体" w:cs="宋体"/>
          <w:b/>
          <w:bCs/>
          <w:sz w:val="28"/>
          <w:szCs w:val="28"/>
        </w:rPr>
        <w:t>依据：</w:t>
      </w:r>
      <w:r>
        <w:rPr>
          <w:rFonts w:hint="eastAsia" w:ascii="宋体" w:hAnsi="宋体" w:cs="宋体"/>
          <w:sz w:val="28"/>
          <w:szCs w:val="28"/>
        </w:rPr>
        <w:t>《建筑防烟排烟系统技术标准》（GB51251-2017）第3.3.6条第2款，前室应每层设一个常闭式加压送风口，并应设手动开启装置。《建筑防排烟系统技术标准》（GB51251-2017）图示3.3.6图示</w:t>
      </w:r>
      <w:r>
        <w:rPr>
          <w:rFonts w:hint="eastAsia" w:ascii="宋体" w:hAnsi="宋体" w:cs="宋体"/>
          <w:sz w:val="28"/>
          <w:szCs w:val="28"/>
          <w:highlight w:val="none"/>
        </w:rPr>
        <w:t>2也明确了常闭式加压送风口应设置手动开启装置。</w:t>
      </w:r>
    </w:p>
    <w:p w14:paraId="47075C17">
      <w:pPr>
        <w:wordWrap w:val="0"/>
        <w:ind w:firstLine="480"/>
        <w:jc w:val="center"/>
        <w:rPr>
          <w:rFonts w:ascii="宋体" w:hAnsi="宋体" w:cs="宋体"/>
          <w:kern w:val="0"/>
          <w:sz w:val="24"/>
        </w:rPr>
      </w:pPr>
      <w:r>
        <w:rPr>
          <w:rFonts w:ascii="宋体" w:hAnsi="宋体" w:cs="宋体"/>
          <w:kern w:val="0"/>
          <w:sz w:val="24"/>
        </w:rPr>
        <w:drawing>
          <wp:inline distT="0" distB="0" distL="0" distR="0">
            <wp:extent cx="3528695" cy="5776595"/>
            <wp:effectExtent l="0" t="0" r="6985" b="14605"/>
            <wp:docPr id="13" name="图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图片 13"/>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a:xfrm>
                      <a:off x="0" y="0"/>
                      <a:ext cx="3528695" cy="5776595"/>
                    </a:xfrm>
                    <a:prstGeom prst="rect">
                      <a:avLst/>
                    </a:prstGeom>
                    <a:noFill/>
                    <a:ln>
                      <a:noFill/>
                    </a:ln>
                  </pic:spPr>
                </pic:pic>
              </a:graphicData>
            </a:graphic>
          </wp:inline>
        </w:drawing>
      </w:r>
    </w:p>
    <w:p w14:paraId="3625401A">
      <w:pPr>
        <w:ind w:firstLine="562" w:firstLineChars="200"/>
        <w:jc w:val="left"/>
      </w:pPr>
      <w:r>
        <w:rPr>
          <w:rFonts w:hint="eastAsia" w:ascii="宋体" w:hAnsi="宋体" w:cs="宋体"/>
          <w:b/>
          <w:bCs/>
          <w:sz w:val="28"/>
          <w:szCs w:val="28"/>
        </w:rPr>
        <w:t>案例：</w:t>
      </w:r>
      <w:r>
        <w:rPr>
          <w:rFonts w:hint="eastAsia" w:ascii="宋体" w:hAnsi="宋体" w:cs="宋体"/>
          <w:sz w:val="28"/>
          <w:szCs w:val="28"/>
        </w:rPr>
        <w:t>某车站楼梯间前室设置加压送风系统及常闭式加压送风口，但该风口并未设置手动装置，</w:t>
      </w:r>
      <w:r>
        <w:rPr>
          <w:rFonts w:hint="eastAsia" w:ascii="宋体" w:hAnsi="宋体" w:cs="宋体"/>
          <w:color w:val="000000"/>
          <w:sz w:val="28"/>
        </w:rPr>
        <w:t>不满足上述规范要求</w:t>
      </w:r>
      <w:r>
        <w:rPr>
          <w:rFonts w:hint="eastAsia" w:ascii="宋体" w:hAnsi="宋体" w:cs="宋体"/>
          <w:sz w:val="28"/>
          <w:szCs w:val="28"/>
        </w:rPr>
        <w:t>。</w:t>
      </w:r>
      <w:r>
        <w:drawing>
          <wp:inline distT="0" distB="0" distL="0" distR="0">
            <wp:extent cx="5723890" cy="6009640"/>
            <wp:effectExtent l="0" t="0" r="6350" b="10160"/>
            <wp:docPr id="445653522"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5653522" name="图片 1"/>
                    <pic:cNvPicPr>
                      <a:picLocks noChangeAspect="1"/>
                    </pic:cNvPicPr>
                  </pic:nvPicPr>
                  <pic:blipFill>
                    <a:blip r:embed="rId21"/>
                    <a:stretch>
                      <a:fillRect/>
                    </a:stretch>
                  </pic:blipFill>
                  <pic:spPr>
                    <a:xfrm>
                      <a:off x="0" y="0"/>
                      <a:ext cx="5723890" cy="6009640"/>
                    </a:xfrm>
                    <a:prstGeom prst="rect">
                      <a:avLst/>
                    </a:prstGeom>
                  </pic:spPr>
                </pic:pic>
              </a:graphicData>
            </a:graphic>
          </wp:inline>
        </w:drawing>
      </w:r>
    </w:p>
    <w:p w14:paraId="4EDF0E14">
      <w:pPr>
        <w:jc w:val="left"/>
      </w:pPr>
    </w:p>
    <w:p w14:paraId="0E209D8A">
      <w:pPr>
        <w:wordWrap w:val="0"/>
        <w:ind w:firstLine="560"/>
        <w:jc w:val="left"/>
        <w:rPr>
          <w:rFonts w:ascii="宋体" w:hAnsi="宋体" w:cs="宋体"/>
          <w:sz w:val="28"/>
          <w:szCs w:val="28"/>
        </w:rPr>
      </w:pPr>
      <w:r>
        <w:rPr>
          <w:rFonts w:hint="eastAsia" w:ascii="宋体" w:hAnsi="宋体" w:cs="宋体"/>
          <w:sz w:val="28"/>
          <w:szCs w:val="28"/>
        </w:rPr>
        <w:t>5.0.2 机械加压送风系统送风量计算不当，未根据城市轨道交通地下工程实际情况计算，导致加压送风量计算</w:t>
      </w:r>
      <w:r>
        <w:rPr>
          <w:rFonts w:hint="eastAsia" w:ascii="宋体" w:hAnsi="宋体" w:cs="宋体"/>
          <w:sz w:val="28"/>
          <w:szCs w:val="28"/>
          <w:lang w:val="en-US" w:eastAsia="zh-CN"/>
        </w:rPr>
        <w:t>值</w:t>
      </w:r>
      <w:r>
        <w:rPr>
          <w:rFonts w:hint="eastAsia" w:ascii="宋体" w:hAnsi="宋体" w:cs="宋体"/>
          <w:sz w:val="28"/>
          <w:szCs w:val="28"/>
        </w:rPr>
        <w:t>偏大，易导致楼梯间或前室超压，且引起投资浪费。</w:t>
      </w:r>
    </w:p>
    <w:p w14:paraId="129FA61A">
      <w:pPr>
        <w:wordWrap w:val="0"/>
        <w:ind w:firstLine="562"/>
        <w:jc w:val="left"/>
        <w:rPr>
          <w:rFonts w:ascii="宋体" w:hAnsi="宋体" w:cs="宋体"/>
          <w:sz w:val="28"/>
          <w:szCs w:val="28"/>
        </w:rPr>
      </w:pPr>
      <w:r>
        <w:rPr>
          <w:rFonts w:hint="eastAsia" w:ascii="宋体" w:hAnsi="宋体" w:cs="宋体"/>
          <w:b/>
          <w:bCs/>
          <w:sz w:val="28"/>
          <w:szCs w:val="28"/>
        </w:rPr>
        <w:t>依据：</w:t>
      </w:r>
      <w:r>
        <w:rPr>
          <w:rFonts w:hint="eastAsia" w:ascii="宋体" w:hAnsi="宋体" w:cs="宋体"/>
          <w:sz w:val="28"/>
          <w:szCs w:val="28"/>
        </w:rPr>
        <w:t>《建筑防烟排烟系统技术标准》（GB51251-2017）第3.4.2条，防烟楼梯间、独立前室、共用前室、合用前室和消防电梯前室的机械加压送风的计算风量应由本标准第3.4.5条</w:t>
      </w:r>
      <w:r>
        <w:rPr>
          <w:rFonts w:hint="eastAsia" w:ascii="仿宋" w:hAnsi="仿宋" w:eastAsia="仿宋"/>
          <w:sz w:val="32"/>
          <w:szCs w:val="32"/>
        </w:rPr>
        <w:t>～</w:t>
      </w:r>
      <w:r>
        <w:rPr>
          <w:rFonts w:hint="eastAsia" w:ascii="宋体" w:hAnsi="宋体" w:cs="宋体"/>
          <w:sz w:val="28"/>
          <w:szCs w:val="28"/>
        </w:rPr>
        <w:t>第3.4.8条的规定计算</w:t>
      </w:r>
      <w:r>
        <w:rPr>
          <w:rFonts w:hint="eastAsia" w:ascii="宋体" w:hAnsi="宋体" w:cs="宋体"/>
          <w:sz w:val="28"/>
          <w:szCs w:val="28"/>
          <w:lang w:val="en-US" w:eastAsia="zh-CN"/>
        </w:rPr>
        <w:t>确定</w:t>
      </w:r>
      <w:r>
        <w:rPr>
          <w:rFonts w:hint="eastAsia" w:ascii="宋体" w:hAnsi="宋体" w:cs="宋体"/>
          <w:sz w:val="28"/>
          <w:szCs w:val="28"/>
        </w:rPr>
        <w:t>。当系统负担建筑高度大于24m时，防烟楼梯间、独立前室、共用前室、合用前室和消防电梯前室应按计算值与表3.4.2-1</w:t>
      </w:r>
      <w:r>
        <w:rPr>
          <w:rFonts w:hint="eastAsia" w:ascii="仿宋" w:hAnsi="仿宋" w:eastAsia="仿宋"/>
          <w:sz w:val="32"/>
          <w:szCs w:val="32"/>
        </w:rPr>
        <w:t>～</w:t>
      </w:r>
      <w:r>
        <w:rPr>
          <w:rFonts w:hint="eastAsia" w:ascii="宋体" w:hAnsi="宋体" w:cs="宋体"/>
          <w:sz w:val="28"/>
          <w:szCs w:val="28"/>
        </w:rPr>
        <w:t>表3.4.2-4的值中的较大</w:t>
      </w:r>
      <w:r>
        <w:rPr>
          <w:rFonts w:hint="eastAsia" w:ascii="宋体" w:hAnsi="宋体" w:cs="宋体"/>
          <w:sz w:val="28"/>
          <w:szCs w:val="28"/>
          <w:lang w:val="en-US" w:eastAsia="zh-CN"/>
        </w:rPr>
        <w:t>值</w:t>
      </w:r>
      <w:r>
        <w:rPr>
          <w:rFonts w:hint="eastAsia" w:ascii="宋体" w:hAnsi="宋体" w:cs="宋体"/>
          <w:sz w:val="28"/>
          <w:szCs w:val="28"/>
        </w:rPr>
        <w:t>确定。</w:t>
      </w:r>
    </w:p>
    <w:p w14:paraId="5F1CAF7B">
      <w:pPr>
        <w:wordWrap w:val="0"/>
        <w:ind w:firstLine="560"/>
        <w:jc w:val="left"/>
        <w:rPr>
          <w:rFonts w:ascii="宋体" w:hAnsi="宋体" w:cs="宋体"/>
          <w:sz w:val="28"/>
          <w:szCs w:val="28"/>
        </w:rPr>
      </w:pPr>
      <w:r>
        <w:rPr>
          <w:rFonts w:hint="eastAsia" w:ascii="宋体" w:hAnsi="宋体" w:cs="宋体"/>
          <w:sz w:val="28"/>
          <w:szCs w:val="28"/>
        </w:rPr>
        <w:t>因此，提升高度小于24m的地下车站防烟楼梯间、独立前室、共用前室、合用前室和消防电梯前室，</w:t>
      </w:r>
      <w:r>
        <w:rPr>
          <w:rFonts w:hint="eastAsia" w:ascii="宋体" w:hAnsi="宋体" w:cs="宋体"/>
          <w:sz w:val="28"/>
          <w:szCs w:val="28"/>
          <w:highlight w:val="none"/>
        </w:rPr>
        <w:t>机械加</w:t>
      </w:r>
      <w:r>
        <w:rPr>
          <w:rFonts w:hint="eastAsia" w:ascii="宋体" w:hAnsi="宋体" w:cs="宋体"/>
          <w:sz w:val="28"/>
          <w:szCs w:val="28"/>
        </w:rPr>
        <w:t>压送风量按《建筑防烟排烟系统技术标准》（GB51251-2017）第3.4.5</w:t>
      </w:r>
      <w:r>
        <w:rPr>
          <w:rFonts w:hint="eastAsia" w:ascii="仿宋" w:hAnsi="仿宋" w:eastAsia="仿宋"/>
          <w:sz w:val="32"/>
          <w:szCs w:val="32"/>
        </w:rPr>
        <w:t>～</w:t>
      </w:r>
      <w:r>
        <w:rPr>
          <w:rFonts w:hint="eastAsia" w:ascii="宋体" w:hAnsi="宋体" w:cs="宋体"/>
          <w:sz w:val="28"/>
          <w:szCs w:val="28"/>
        </w:rPr>
        <w:t>3.4.8条计算直接确定，无需取该值与表3.4.2-1</w:t>
      </w:r>
      <w:r>
        <w:rPr>
          <w:rFonts w:hint="eastAsia" w:ascii="仿宋" w:hAnsi="仿宋" w:eastAsia="仿宋"/>
          <w:sz w:val="32"/>
          <w:szCs w:val="32"/>
        </w:rPr>
        <w:t>～</w:t>
      </w:r>
      <w:r>
        <w:rPr>
          <w:rFonts w:hint="eastAsia" w:ascii="宋体" w:hAnsi="宋体" w:cs="宋体"/>
          <w:sz w:val="28"/>
          <w:szCs w:val="28"/>
        </w:rPr>
        <w:t>表3.4.2-4的值中的较大值。</w:t>
      </w:r>
    </w:p>
    <w:p w14:paraId="502F3518">
      <w:pPr>
        <w:wordWrap w:val="0"/>
        <w:ind w:firstLine="560"/>
        <w:jc w:val="left"/>
        <w:rPr>
          <w:rFonts w:ascii="宋体" w:hAnsi="宋体" w:cs="宋体"/>
          <w:sz w:val="28"/>
          <w:szCs w:val="28"/>
        </w:rPr>
      </w:pPr>
    </w:p>
    <w:p w14:paraId="121CB39A">
      <w:pPr>
        <w:wordWrap w:val="0"/>
        <w:ind w:firstLine="544"/>
        <w:jc w:val="left"/>
        <w:rPr>
          <w:rFonts w:asciiTheme="minorEastAsia" w:hAnsiTheme="minorEastAsia" w:cstheme="minorEastAsia"/>
          <w:spacing w:val="-4"/>
          <w:sz w:val="28"/>
          <w:szCs w:val="28"/>
        </w:rPr>
      </w:pPr>
      <w:r>
        <w:rPr>
          <w:rFonts w:hint="eastAsia" w:asciiTheme="minorEastAsia" w:hAnsiTheme="minorEastAsia" w:cstheme="minorEastAsia"/>
          <w:spacing w:val="-4"/>
          <w:sz w:val="28"/>
          <w:szCs w:val="28"/>
        </w:rPr>
        <w:t>5.0.3 防排烟设计中错误</w:t>
      </w:r>
      <w:r>
        <w:rPr>
          <w:rFonts w:hint="eastAsia" w:asciiTheme="minorEastAsia" w:hAnsiTheme="minorEastAsia" w:cstheme="minorEastAsia"/>
          <w:spacing w:val="-4"/>
          <w:sz w:val="28"/>
          <w:szCs w:val="28"/>
          <w:lang w:val="en-US" w:eastAsia="zh-CN"/>
        </w:rPr>
        <w:t>地</w:t>
      </w:r>
      <w:r>
        <w:rPr>
          <w:rFonts w:hint="eastAsia" w:asciiTheme="minorEastAsia" w:hAnsiTheme="minorEastAsia" w:cstheme="minorEastAsia"/>
          <w:spacing w:val="-4"/>
          <w:sz w:val="28"/>
          <w:szCs w:val="28"/>
        </w:rPr>
        <w:t>将</w:t>
      </w:r>
      <w:r>
        <w:rPr>
          <w:rFonts w:hint="eastAsia" w:asciiTheme="minorEastAsia" w:hAnsiTheme="minorEastAsia" w:cstheme="minorEastAsia"/>
          <w:spacing w:val="-4"/>
          <w:sz w:val="28"/>
          <w:szCs w:val="28"/>
          <w:lang w:val="en-US" w:eastAsia="zh-CN"/>
        </w:rPr>
        <w:t>与</w:t>
      </w:r>
      <w:r>
        <w:rPr>
          <w:rFonts w:hint="eastAsia" w:asciiTheme="minorEastAsia" w:hAnsiTheme="minorEastAsia" w:cstheme="minorEastAsia"/>
          <w:spacing w:val="-4"/>
          <w:sz w:val="28"/>
          <w:szCs w:val="28"/>
        </w:rPr>
        <w:t>走道相邻的独立分隔的房间，划分至走道所在防烟分区。</w:t>
      </w:r>
    </w:p>
    <w:p w14:paraId="233F62C5">
      <w:pPr>
        <w:wordWrap w:val="0"/>
        <w:ind w:firstLine="562"/>
        <w:jc w:val="left"/>
        <w:rPr>
          <w:rFonts w:ascii="宋体" w:hAnsi="宋体" w:cs="宋体"/>
          <w:sz w:val="28"/>
          <w:szCs w:val="28"/>
        </w:rPr>
      </w:pPr>
      <w:r>
        <w:rPr>
          <w:rFonts w:hint="eastAsia" w:ascii="宋体" w:hAnsi="宋体" w:cs="宋体"/>
          <w:b/>
          <w:bCs/>
          <w:sz w:val="28"/>
          <w:szCs w:val="28"/>
        </w:rPr>
        <w:t>依据：</w:t>
      </w:r>
      <w:r>
        <w:rPr>
          <w:rFonts w:hint="eastAsia" w:ascii="宋体" w:hAnsi="宋体" w:cs="宋体"/>
          <w:sz w:val="28"/>
          <w:szCs w:val="28"/>
        </w:rPr>
        <w:t>《建筑防烟排烟系统技术标准》（GB51251-2017）第4.2.1条及条文说明，设置排烟系统的场所或部位应采用挡烟垂壁、结构梁及隔墙等划分防烟分区</w:t>
      </w:r>
      <w:r>
        <w:rPr>
          <w:rFonts w:hint="eastAsia" w:ascii="宋体" w:hAnsi="宋体" w:cs="宋体"/>
          <w:sz w:val="28"/>
          <w:szCs w:val="28"/>
          <w:lang w:eastAsia="zh-CN"/>
        </w:rPr>
        <w:t>；</w:t>
      </w:r>
      <w:r>
        <w:rPr>
          <w:rFonts w:hint="eastAsia" w:ascii="宋体" w:hAnsi="宋体" w:cs="宋体"/>
          <w:sz w:val="28"/>
          <w:szCs w:val="28"/>
        </w:rPr>
        <w:t>采用隔墙等</w:t>
      </w:r>
      <w:r>
        <w:rPr>
          <w:rFonts w:hint="eastAsia" w:ascii="宋体" w:hAnsi="宋体" w:cs="宋体"/>
          <w:sz w:val="28"/>
          <w:szCs w:val="28"/>
          <w:highlight w:val="none"/>
        </w:rPr>
        <w:t>形成</w:t>
      </w:r>
      <w:r>
        <w:rPr>
          <w:rFonts w:hint="eastAsia" w:ascii="宋体" w:hAnsi="宋体" w:cs="宋体"/>
          <w:sz w:val="28"/>
          <w:szCs w:val="28"/>
        </w:rPr>
        <w:t>了独立的分隔空间，实际就是一个防烟分区和储烟仓，该空间应作为一个防烟分区设置排烟口，不能与其他相邻区域或房间叠加面积作为防烟分区的设计值。</w:t>
      </w:r>
    </w:p>
    <w:p w14:paraId="042097F5">
      <w:pPr>
        <w:wordWrap w:val="0"/>
        <w:ind w:firstLine="560"/>
        <w:jc w:val="left"/>
        <w:rPr>
          <w:rFonts w:hint="eastAsia" w:ascii="宋体" w:hAnsi="宋体" w:cs="宋体"/>
          <w:sz w:val="28"/>
          <w:szCs w:val="28"/>
        </w:rPr>
      </w:pPr>
      <w:r>
        <w:rPr>
          <w:rFonts w:hint="eastAsia" w:ascii="宋体" w:hAnsi="宋体" w:cs="宋体"/>
          <w:sz w:val="28"/>
          <w:szCs w:val="28"/>
        </w:rPr>
        <w:t>据此，当房间（或多个房间作为一个区域）需要排烟时，应单独划分防烟分区,排烟口的设置需满足《建筑防烟排烟系统技术标准》（GB51251-2017）第4.4.12条的相关规定；当房间（或多个房间作为一个区域）不需要排烟时，则不需要划分防烟分区。</w:t>
      </w:r>
    </w:p>
    <w:p w14:paraId="74221C4E">
      <w:pPr>
        <w:wordWrap w:val="0"/>
        <w:ind w:firstLine="560"/>
        <w:jc w:val="left"/>
        <w:rPr>
          <w:rFonts w:hint="eastAsia" w:ascii="宋体" w:hAnsi="宋体" w:cs="宋体"/>
          <w:sz w:val="28"/>
          <w:szCs w:val="28"/>
        </w:rPr>
      </w:pPr>
    </w:p>
    <w:p w14:paraId="5197E7E9">
      <w:pPr>
        <w:wordWrap w:val="0"/>
        <w:ind w:firstLine="560"/>
        <w:jc w:val="left"/>
        <w:rPr>
          <w:rFonts w:ascii="宋体" w:hAnsi="宋体" w:cs="宋体"/>
          <w:sz w:val="28"/>
          <w:szCs w:val="28"/>
        </w:rPr>
      </w:pPr>
      <w:r>
        <w:rPr>
          <w:rFonts w:hint="eastAsia" w:ascii="宋体" w:hAnsi="宋体" w:cs="宋体"/>
          <w:sz w:val="28"/>
          <w:szCs w:val="28"/>
        </w:rPr>
        <w:t>5.0.4 设置在高位不便直接开启的自然排烟窗（口），未设置距地面高度1.3m</w:t>
      </w:r>
      <w:r>
        <w:rPr>
          <w:rFonts w:hint="eastAsia" w:ascii="仿宋" w:hAnsi="仿宋" w:eastAsia="仿宋"/>
          <w:sz w:val="32"/>
          <w:szCs w:val="32"/>
        </w:rPr>
        <w:t>～</w:t>
      </w:r>
      <w:r>
        <w:rPr>
          <w:rFonts w:hint="eastAsia" w:ascii="宋体" w:hAnsi="宋体" w:cs="宋体"/>
          <w:sz w:val="28"/>
          <w:szCs w:val="28"/>
        </w:rPr>
        <w:t>1.5m的可手动直接开启装置。</w:t>
      </w:r>
    </w:p>
    <w:p w14:paraId="189A3C61">
      <w:pPr>
        <w:wordWrap w:val="0"/>
        <w:ind w:firstLine="562"/>
        <w:jc w:val="left"/>
        <w:rPr>
          <w:rFonts w:ascii="宋体" w:hAnsi="宋体" w:cs="宋体"/>
          <w:sz w:val="28"/>
          <w:szCs w:val="28"/>
        </w:rPr>
      </w:pPr>
      <w:r>
        <w:rPr>
          <w:rFonts w:hint="eastAsia" w:ascii="宋体" w:hAnsi="宋体" w:cs="宋体"/>
          <w:b/>
          <w:bCs/>
          <w:sz w:val="28"/>
          <w:szCs w:val="28"/>
        </w:rPr>
        <w:t>依据：</w:t>
      </w:r>
      <w:r>
        <w:rPr>
          <w:rFonts w:hint="eastAsia" w:ascii="宋体" w:hAnsi="宋体" w:cs="宋体"/>
          <w:sz w:val="28"/>
          <w:szCs w:val="28"/>
        </w:rPr>
        <w:t>《建筑防烟排烟系统技术标准》（GB51251-2017）第4.3.6条，自然排烟窗（口）应设置手动开启装置，设置在高位不便于直接开启的自然排烟窗（口），应设置距地面高度1.3m</w:t>
      </w:r>
      <w:r>
        <w:rPr>
          <w:rFonts w:hint="eastAsia" w:ascii="仿宋" w:hAnsi="仿宋" w:eastAsia="仿宋"/>
          <w:sz w:val="32"/>
          <w:szCs w:val="32"/>
        </w:rPr>
        <w:t>～</w:t>
      </w:r>
      <w:r>
        <w:rPr>
          <w:rFonts w:hint="eastAsia" w:ascii="宋体" w:hAnsi="宋体" w:cs="宋体"/>
          <w:sz w:val="28"/>
          <w:szCs w:val="28"/>
        </w:rPr>
        <w:t>1.5m的手动开启装置。净空高度大于9m的中庭、建筑面积大于2000m</w:t>
      </w:r>
      <w:r>
        <w:rPr>
          <w:rFonts w:hint="eastAsia" w:ascii="宋体" w:hAnsi="宋体" w:cs="宋体"/>
          <w:sz w:val="28"/>
          <w:szCs w:val="28"/>
          <w:vertAlign w:val="superscript"/>
        </w:rPr>
        <w:t>2</w:t>
      </w:r>
      <w:r>
        <w:rPr>
          <w:rFonts w:hint="eastAsia" w:ascii="宋体" w:hAnsi="宋体" w:cs="宋体"/>
          <w:sz w:val="28"/>
          <w:szCs w:val="28"/>
        </w:rPr>
        <w:t>的营业厅、展览厅、多功能厅等场所，尚应设置集中手动开启装置和自动开启设施。</w:t>
      </w:r>
    </w:p>
    <w:p w14:paraId="402D1843">
      <w:pPr>
        <w:wordWrap w:val="0"/>
        <w:ind w:firstLine="560"/>
        <w:jc w:val="left"/>
        <w:rPr>
          <w:rFonts w:ascii="宋体" w:hAnsi="宋体" w:cs="宋体"/>
          <w:sz w:val="28"/>
          <w:szCs w:val="28"/>
        </w:rPr>
      </w:pPr>
      <w:r>
        <w:rPr>
          <w:rFonts w:hint="eastAsia" w:ascii="宋体" w:hAnsi="宋体" w:cs="宋体"/>
          <w:sz w:val="28"/>
          <w:szCs w:val="28"/>
        </w:rPr>
        <w:t>设置的手动开启装置，应可人工直接开启，而不应有阻隔导致实际不能手动直接开启。</w:t>
      </w:r>
    </w:p>
    <w:p w14:paraId="7D2D2555">
      <w:pPr>
        <w:wordWrap w:val="0"/>
        <w:ind w:firstLine="562"/>
        <w:jc w:val="left"/>
        <w:rPr>
          <w:rFonts w:ascii="宋体" w:hAnsi="宋体" w:cs="宋体"/>
          <w:sz w:val="28"/>
          <w:szCs w:val="28"/>
        </w:rPr>
      </w:pPr>
      <w:r>
        <w:rPr>
          <w:rFonts w:hint="eastAsia" w:ascii="宋体" w:hAnsi="宋体" w:cs="宋体"/>
          <w:b/>
          <w:bCs/>
          <w:sz w:val="28"/>
          <w:szCs w:val="28"/>
        </w:rPr>
        <w:t>案例：</w:t>
      </w:r>
      <w:r>
        <w:rPr>
          <w:rFonts w:hint="eastAsia" w:ascii="宋体" w:hAnsi="宋体" w:cs="宋体"/>
          <w:sz w:val="28"/>
          <w:szCs w:val="28"/>
        </w:rPr>
        <w:t>某车辆段内走道排烟设计未注明自然排烟窗设置高度（设置在储烟仓内，实际为高位），未设置距地面高度1.3m</w:t>
      </w:r>
      <w:r>
        <w:rPr>
          <w:rFonts w:hint="eastAsia" w:ascii="仿宋" w:hAnsi="仿宋" w:eastAsia="仿宋"/>
          <w:sz w:val="32"/>
          <w:szCs w:val="32"/>
        </w:rPr>
        <w:t>～</w:t>
      </w:r>
      <w:r>
        <w:rPr>
          <w:rFonts w:hint="eastAsia" w:ascii="宋体" w:hAnsi="宋体" w:cs="宋体"/>
          <w:sz w:val="28"/>
          <w:szCs w:val="28"/>
        </w:rPr>
        <w:t>1.5m的手动开启装置，</w:t>
      </w:r>
      <w:r>
        <w:rPr>
          <w:rFonts w:hint="eastAsia" w:ascii="宋体" w:hAnsi="宋体" w:cs="宋体"/>
          <w:color w:val="000000"/>
          <w:sz w:val="28"/>
        </w:rPr>
        <w:t>不满足上述规范要求</w:t>
      </w:r>
      <w:r>
        <w:rPr>
          <w:rFonts w:hint="eastAsia" w:ascii="宋体" w:hAnsi="宋体" w:cs="宋体"/>
          <w:sz w:val="28"/>
          <w:szCs w:val="28"/>
        </w:rPr>
        <w:t>。</w:t>
      </w:r>
    </w:p>
    <w:p w14:paraId="3AB0F41D">
      <w:pPr>
        <w:wordWrap w:val="0"/>
        <w:jc w:val="center"/>
      </w:pPr>
      <w:r>
        <w:drawing>
          <wp:inline distT="0" distB="0" distL="0" distR="0">
            <wp:extent cx="3660775" cy="3404870"/>
            <wp:effectExtent l="0" t="0" r="12065" b="8890"/>
            <wp:docPr id="1664900370"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64900370" name="图片 1"/>
                    <pic:cNvPicPr>
                      <a:picLocks noChangeAspect="1"/>
                    </pic:cNvPicPr>
                  </pic:nvPicPr>
                  <pic:blipFill>
                    <a:blip r:embed="rId22"/>
                    <a:stretch>
                      <a:fillRect/>
                    </a:stretch>
                  </pic:blipFill>
                  <pic:spPr>
                    <a:xfrm>
                      <a:off x="0" y="0"/>
                      <a:ext cx="3660775" cy="3404870"/>
                    </a:xfrm>
                    <a:prstGeom prst="rect">
                      <a:avLst/>
                    </a:prstGeom>
                  </pic:spPr>
                </pic:pic>
              </a:graphicData>
            </a:graphic>
          </wp:inline>
        </w:drawing>
      </w:r>
    </w:p>
    <w:p w14:paraId="32D2649B">
      <w:pPr>
        <w:wordWrap w:val="0"/>
        <w:ind w:firstLine="560"/>
        <w:jc w:val="left"/>
        <w:rPr>
          <w:rFonts w:ascii="宋体" w:hAnsi="宋体" w:cs="宋体"/>
          <w:sz w:val="28"/>
          <w:szCs w:val="28"/>
        </w:rPr>
      </w:pPr>
      <w:r>
        <w:rPr>
          <w:rFonts w:hint="eastAsia" w:ascii="宋体" w:hAnsi="宋体" w:cs="宋体"/>
          <w:sz w:val="28"/>
          <w:szCs w:val="28"/>
        </w:rPr>
        <w:t>5.0.5 采用自然排烟</w:t>
      </w:r>
      <w:r>
        <w:rPr>
          <w:rFonts w:hint="eastAsia" w:ascii="宋体" w:hAnsi="宋体" w:cs="宋体"/>
          <w:sz w:val="28"/>
          <w:szCs w:val="28"/>
          <w:highlight w:val="none"/>
        </w:rPr>
        <w:t>的</w:t>
      </w:r>
      <w:r>
        <w:rPr>
          <w:rFonts w:hint="eastAsia" w:ascii="宋体" w:hAnsi="宋体" w:cs="宋体"/>
          <w:sz w:val="28"/>
          <w:szCs w:val="28"/>
        </w:rPr>
        <w:t>厂房或仓库，自然排烟口靠外墙设置时，错误地仅在一边外墙布置。</w:t>
      </w:r>
    </w:p>
    <w:p w14:paraId="77631CDD">
      <w:pPr>
        <w:wordWrap w:val="0"/>
        <w:ind w:firstLine="562"/>
        <w:jc w:val="left"/>
        <w:rPr>
          <w:rFonts w:ascii="宋体" w:hAnsi="宋体" w:cs="宋体"/>
          <w:sz w:val="28"/>
          <w:szCs w:val="28"/>
        </w:rPr>
      </w:pPr>
      <w:r>
        <w:rPr>
          <w:rFonts w:hint="eastAsia" w:ascii="宋体" w:hAnsi="宋体" w:cs="宋体"/>
          <w:b/>
          <w:bCs/>
          <w:sz w:val="28"/>
          <w:szCs w:val="28"/>
        </w:rPr>
        <w:t>依据：</w:t>
      </w:r>
      <w:r>
        <w:rPr>
          <w:rFonts w:hint="eastAsia" w:ascii="宋体" w:hAnsi="宋体" w:cs="宋体"/>
          <w:sz w:val="28"/>
          <w:szCs w:val="28"/>
        </w:rPr>
        <w:t>《建筑防烟排烟系统技术标准》（GB51251-2017）第4.3.4条第1款，当设置在外墙时，自然排烟窗（口）应沿建筑物的两条对边均匀设置。</w:t>
      </w:r>
    </w:p>
    <w:p w14:paraId="4F1C312E">
      <w:pPr>
        <w:wordWrap w:val="0"/>
        <w:ind w:firstLine="562"/>
        <w:jc w:val="left"/>
        <w:rPr>
          <w:rFonts w:ascii="宋体" w:hAnsi="宋体" w:cs="宋体"/>
          <w:b/>
          <w:bCs/>
          <w:sz w:val="28"/>
          <w:szCs w:val="28"/>
        </w:rPr>
      </w:pPr>
      <w:r>
        <w:rPr>
          <w:rFonts w:hint="eastAsia" w:ascii="宋体" w:hAnsi="宋体" w:cs="宋体"/>
          <w:b/>
          <w:bCs/>
          <w:sz w:val="28"/>
          <w:szCs w:val="28"/>
        </w:rPr>
        <w:t>案例：</w:t>
      </w:r>
      <w:r>
        <w:rPr>
          <w:rFonts w:hint="eastAsia" w:ascii="宋体" w:hAnsi="宋体" w:cs="宋体"/>
          <w:sz w:val="28"/>
          <w:szCs w:val="28"/>
        </w:rPr>
        <w:t>某大库采用自然排烟，自然排烟口仅在一侧外墙布置，</w:t>
      </w:r>
      <w:r>
        <w:rPr>
          <w:rFonts w:hint="eastAsia" w:ascii="宋体" w:hAnsi="宋体" w:cs="宋体"/>
          <w:color w:val="000000"/>
          <w:sz w:val="28"/>
        </w:rPr>
        <w:t>不满足上述规范要求</w:t>
      </w:r>
      <w:r>
        <w:rPr>
          <w:rFonts w:hint="eastAsia" w:ascii="宋体" w:hAnsi="宋体" w:cs="宋体"/>
          <w:sz w:val="28"/>
          <w:szCs w:val="28"/>
        </w:rPr>
        <w:t>。</w:t>
      </w:r>
    </w:p>
    <w:p w14:paraId="740F2072">
      <w:pPr>
        <w:wordWrap w:val="0"/>
        <w:ind w:firstLine="562"/>
        <w:jc w:val="left"/>
        <w:rPr>
          <w:rFonts w:ascii="宋体" w:hAnsi="宋体" w:cs="宋体"/>
          <w:b/>
          <w:bCs/>
          <w:sz w:val="28"/>
          <w:szCs w:val="28"/>
        </w:rPr>
      </w:pPr>
    </w:p>
    <w:p w14:paraId="26BDA579">
      <w:pPr>
        <w:wordWrap w:val="0"/>
        <w:ind w:firstLine="560"/>
        <w:jc w:val="left"/>
        <w:rPr>
          <w:rFonts w:ascii="宋体" w:hAnsi="宋体" w:cs="宋体"/>
          <w:sz w:val="28"/>
          <w:szCs w:val="28"/>
        </w:rPr>
      </w:pPr>
      <w:r>
        <w:rPr>
          <w:rFonts w:hint="eastAsia" w:ascii="宋体" w:hAnsi="宋体" w:cs="宋体"/>
          <w:sz w:val="28"/>
          <w:szCs w:val="28"/>
        </w:rPr>
        <w:t>5.0.6 排烟口与防烟分区内最远一点水平距离超过规范允许值。</w:t>
      </w:r>
    </w:p>
    <w:p w14:paraId="59C89E68">
      <w:pPr>
        <w:wordWrap w:val="0"/>
        <w:ind w:firstLine="562"/>
        <w:jc w:val="left"/>
        <w:rPr>
          <w:rFonts w:ascii="宋体" w:hAnsi="宋体" w:cs="宋体"/>
          <w:sz w:val="28"/>
          <w:szCs w:val="28"/>
        </w:rPr>
      </w:pPr>
      <w:r>
        <w:rPr>
          <w:rFonts w:hint="eastAsia" w:ascii="宋体" w:hAnsi="宋体" w:cs="宋体"/>
          <w:b/>
          <w:bCs/>
          <w:sz w:val="28"/>
          <w:szCs w:val="28"/>
        </w:rPr>
        <w:t>依据：</w:t>
      </w:r>
      <w:r>
        <w:rPr>
          <w:rFonts w:hint="eastAsia" w:ascii="宋体" w:hAnsi="宋体" w:cs="宋体"/>
          <w:sz w:val="28"/>
          <w:szCs w:val="28"/>
        </w:rPr>
        <w:t>《地铁设计防火标准》（GB51298-2018）第8.2.2条，《建筑防烟排烟系统技术标准》（GB51251-2017）第4.4.12条，均规定了防烟分区内任一点与排烟口的水平距离不应大于30m；《地铁设计防火标准》（GB51298-2018）第8.2.5条第2款，当室内净高大于6m时，该距离可增加至37.5m。</w:t>
      </w:r>
    </w:p>
    <w:p w14:paraId="78723800">
      <w:pPr>
        <w:wordWrap w:val="0"/>
        <w:ind w:firstLine="562"/>
        <w:jc w:val="left"/>
        <w:rPr>
          <w:rFonts w:ascii="宋体" w:hAnsi="宋体" w:cs="宋体"/>
          <w:color w:val="FFFFFF" w:themeColor="background1"/>
          <w:sz w:val="28"/>
          <w:szCs w:val="28"/>
          <w14:textFill>
            <w14:solidFill>
              <w14:schemeClr w14:val="bg1"/>
            </w14:solidFill>
          </w14:textFill>
        </w:rPr>
      </w:pPr>
      <w:r>
        <w:rPr>
          <w:rFonts w:hint="eastAsia" w:ascii="宋体" w:hAnsi="宋体" w:cs="宋体"/>
          <w:b/>
          <w:bCs/>
          <w:sz w:val="28"/>
          <w:szCs w:val="28"/>
        </w:rPr>
        <w:t>案例：</w:t>
      </w:r>
      <w:r>
        <w:rPr>
          <w:rFonts w:hint="eastAsia" w:ascii="宋体" w:hAnsi="宋体" w:cs="宋体"/>
          <w:sz w:val="28"/>
          <w:szCs w:val="28"/>
          <w:highlight w:val="none"/>
          <w:shd w:val="clear"/>
        </w:rPr>
        <w:t>某车站内走道排烟口距该防烟分区内最远一点水平距离为32.75m（该防烟分区室内净高为5.5m，小于6m），超过30m，</w:t>
      </w:r>
      <w:r>
        <w:rPr>
          <w:rFonts w:hint="eastAsia" w:ascii="宋体" w:hAnsi="宋体" w:cs="宋体"/>
          <w:color w:val="000000"/>
          <w:sz w:val="28"/>
          <w:highlight w:val="none"/>
          <w:shd w:val="clear"/>
        </w:rPr>
        <w:t>不满足上述规范要求</w:t>
      </w:r>
      <w:r>
        <w:rPr>
          <w:rFonts w:hint="eastAsia" w:ascii="宋体" w:hAnsi="宋体" w:cs="宋体"/>
          <w:sz w:val="28"/>
          <w:szCs w:val="28"/>
          <w:shd w:val="clear"/>
        </w:rPr>
        <w:t>。</w:t>
      </w:r>
    </w:p>
    <w:p w14:paraId="7EF0CC72">
      <w:pPr>
        <w:wordWrap w:val="0"/>
        <w:jc w:val="center"/>
      </w:pPr>
      <w:r>
        <w:rPr>
          <w:rFonts w:hint="eastAsia"/>
        </w:rPr>
        <w:drawing>
          <wp:inline distT="0" distB="0" distL="114300" distR="114300">
            <wp:extent cx="5721985" cy="2849245"/>
            <wp:effectExtent l="0" t="0" r="8255" b="635"/>
            <wp:docPr id="8" name="图片 8" descr="17295061844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8" descr="1729506184466"/>
                    <pic:cNvPicPr>
                      <a:picLocks noChangeAspect="1"/>
                    </pic:cNvPicPr>
                  </pic:nvPicPr>
                  <pic:blipFill>
                    <a:blip r:embed="rId23"/>
                    <a:stretch>
                      <a:fillRect/>
                    </a:stretch>
                  </pic:blipFill>
                  <pic:spPr>
                    <a:xfrm>
                      <a:off x="0" y="0"/>
                      <a:ext cx="5721985" cy="2849245"/>
                    </a:xfrm>
                    <a:prstGeom prst="rect">
                      <a:avLst/>
                    </a:prstGeom>
                  </pic:spPr>
                </pic:pic>
              </a:graphicData>
            </a:graphic>
          </wp:inline>
        </w:drawing>
      </w:r>
    </w:p>
    <w:p w14:paraId="55679EA5">
      <w:pPr>
        <w:wordWrap w:val="0"/>
        <w:ind w:firstLine="560"/>
        <w:jc w:val="left"/>
        <w:rPr>
          <w:rFonts w:ascii="宋体" w:hAnsi="宋体" w:cs="宋体"/>
          <w:sz w:val="28"/>
          <w:szCs w:val="28"/>
        </w:rPr>
      </w:pPr>
    </w:p>
    <w:p w14:paraId="1E805C64">
      <w:pPr>
        <w:wordWrap w:val="0"/>
        <w:ind w:firstLine="560"/>
        <w:jc w:val="left"/>
        <w:rPr>
          <w:rFonts w:ascii="宋体" w:hAnsi="宋体" w:cs="宋体"/>
          <w:sz w:val="28"/>
          <w:szCs w:val="28"/>
        </w:rPr>
      </w:pPr>
      <w:r>
        <w:rPr>
          <w:rFonts w:hint="eastAsia" w:ascii="宋体" w:hAnsi="宋体" w:cs="宋体"/>
          <w:sz w:val="28"/>
          <w:szCs w:val="28"/>
        </w:rPr>
        <w:t>5.0.7 排烟口设置位置错误，导致其水平距离安全出口不足3m。</w:t>
      </w:r>
    </w:p>
    <w:p w14:paraId="2C29EE54">
      <w:pPr>
        <w:wordWrap w:val="0"/>
        <w:ind w:firstLine="562"/>
        <w:jc w:val="left"/>
        <w:rPr>
          <w:rFonts w:hint="eastAsia" w:ascii="宋体" w:hAnsi="宋体" w:cs="宋体"/>
          <w:sz w:val="28"/>
          <w:szCs w:val="28"/>
        </w:rPr>
      </w:pPr>
      <w:r>
        <w:rPr>
          <w:rFonts w:hint="eastAsia" w:ascii="宋体" w:hAnsi="宋体" w:cs="宋体"/>
          <w:b/>
          <w:bCs/>
          <w:sz w:val="28"/>
          <w:szCs w:val="28"/>
        </w:rPr>
        <w:t>依据：</w:t>
      </w:r>
      <w:r>
        <w:rPr>
          <w:rFonts w:hint="eastAsia" w:ascii="宋体" w:hAnsi="宋体" w:cs="宋体"/>
          <w:sz w:val="28"/>
          <w:szCs w:val="28"/>
        </w:rPr>
        <w:t>《地铁设计防火标准》（GB51298-2018）第8.2.5条第3款，排烟口底边距挡烟垂壁下沿的垂直距离不应小于0.5m，水平距离安全出口不应小于3.0m</w:t>
      </w:r>
      <w:r>
        <w:rPr>
          <w:rFonts w:hint="eastAsia" w:ascii="宋体" w:hAnsi="宋体" w:cs="宋体"/>
          <w:sz w:val="28"/>
          <w:szCs w:val="28"/>
          <w:lang w:eastAsia="zh-CN"/>
        </w:rPr>
        <w:t>。</w:t>
      </w:r>
    </w:p>
    <w:p w14:paraId="7B42B2E3">
      <w:pPr>
        <w:wordWrap w:val="0"/>
        <w:ind w:firstLine="546"/>
        <w:jc w:val="left"/>
        <w:rPr>
          <w:rFonts w:asciiTheme="minorEastAsia" w:hAnsiTheme="minorEastAsia" w:cstheme="minorEastAsia"/>
          <w:spacing w:val="-4"/>
          <w:sz w:val="28"/>
          <w:szCs w:val="28"/>
          <w:highlight w:val="none"/>
        </w:rPr>
      </w:pPr>
      <w:r>
        <w:rPr>
          <w:rFonts w:hint="eastAsia" w:asciiTheme="minorEastAsia" w:hAnsiTheme="minorEastAsia" w:cstheme="minorEastAsia"/>
          <w:b/>
          <w:bCs/>
          <w:spacing w:val="-4"/>
          <w:sz w:val="28"/>
          <w:szCs w:val="28"/>
        </w:rPr>
        <w:t>案例：</w:t>
      </w:r>
      <w:r>
        <w:rPr>
          <w:rFonts w:hint="eastAsia" w:asciiTheme="minorEastAsia" w:hAnsiTheme="minorEastAsia" w:cstheme="minorEastAsia"/>
          <w:spacing w:val="-4"/>
          <w:sz w:val="28"/>
          <w:szCs w:val="28"/>
        </w:rPr>
        <w:t>某地下车站设备管理用房内走道排烟口，</w:t>
      </w:r>
      <w:r>
        <w:rPr>
          <w:rFonts w:hint="eastAsia" w:asciiTheme="minorEastAsia" w:hAnsiTheme="minorEastAsia" w:cstheme="minorEastAsia"/>
          <w:spacing w:val="-4"/>
          <w:sz w:val="28"/>
          <w:szCs w:val="28"/>
          <w:highlight w:val="none"/>
        </w:rPr>
        <w:t>距离该区域3号安全出口水平距离仅为1.5m，</w:t>
      </w:r>
      <w:r>
        <w:rPr>
          <w:rFonts w:hint="eastAsia" w:ascii="宋体" w:hAnsi="宋体" w:cs="宋体"/>
          <w:color w:val="000000"/>
          <w:sz w:val="28"/>
          <w:highlight w:val="none"/>
        </w:rPr>
        <w:t>不满足上述规范要求</w:t>
      </w:r>
      <w:r>
        <w:rPr>
          <w:rFonts w:hint="eastAsia" w:ascii="宋体" w:hAnsi="宋体" w:cs="宋体"/>
          <w:sz w:val="28"/>
          <w:szCs w:val="28"/>
          <w:highlight w:val="none"/>
        </w:rPr>
        <w:t>。</w:t>
      </w:r>
    </w:p>
    <w:p w14:paraId="52400263">
      <w:pPr>
        <w:wordWrap w:val="0"/>
        <w:jc w:val="center"/>
        <w:rPr>
          <w:rFonts w:asciiTheme="minorEastAsia" w:hAnsiTheme="minorEastAsia" w:cstheme="minorEastAsia"/>
          <w:spacing w:val="-4"/>
          <w:sz w:val="28"/>
          <w:szCs w:val="28"/>
        </w:rPr>
      </w:pPr>
      <w:r>
        <w:rPr>
          <w:rFonts w:hint="eastAsia"/>
        </w:rPr>
        <w:drawing>
          <wp:inline distT="0" distB="0" distL="0" distR="0">
            <wp:extent cx="3677920" cy="2743835"/>
            <wp:effectExtent l="0" t="0" r="10160" b="14605"/>
            <wp:docPr id="1019616007"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19616007" name="图片 1"/>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a:xfrm>
                      <a:off x="0" y="0"/>
                      <a:ext cx="3677920" cy="2743835"/>
                    </a:xfrm>
                    <a:prstGeom prst="rect">
                      <a:avLst/>
                    </a:prstGeom>
                    <a:noFill/>
                    <a:ln>
                      <a:noFill/>
                    </a:ln>
                  </pic:spPr>
                </pic:pic>
              </a:graphicData>
            </a:graphic>
          </wp:inline>
        </w:drawing>
      </w:r>
    </w:p>
    <w:p w14:paraId="62E0A81E">
      <w:pPr>
        <w:wordWrap w:val="0"/>
        <w:ind w:firstLine="544"/>
        <w:jc w:val="left"/>
        <w:rPr>
          <w:rFonts w:asciiTheme="minorEastAsia" w:hAnsiTheme="minorEastAsia" w:cstheme="minorEastAsia"/>
          <w:spacing w:val="-4"/>
          <w:sz w:val="28"/>
          <w:szCs w:val="28"/>
        </w:rPr>
      </w:pPr>
    </w:p>
    <w:p w14:paraId="1A6546DE">
      <w:pPr>
        <w:wordWrap w:val="0"/>
        <w:ind w:firstLine="560"/>
        <w:jc w:val="left"/>
        <w:rPr>
          <w:rFonts w:ascii="宋体" w:hAnsi="宋体" w:cs="宋体"/>
          <w:sz w:val="28"/>
          <w:szCs w:val="28"/>
        </w:rPr>
      </w:pPr>
      <w:r>
        <w:rPr>
          <w:rFonts w:hint="eastAsia" w:ascii="宋体" w:hAnsi="宋体" w:cs="宋体"/>
          <w:sz w:val="28"/>
          <w:szCs w:val="28"/>
        </w:rPr>
        <w:t>5.0.8 补风口与排烟口设置在同一防烟分区时，补风口设置高度不当。</w:t>
      </w:r>
    </w:p>
    <w:p w14:paraId="4A3346C4">
      <w:pPr>
        <w:wordWrap w:val="0"/>
        <w:ind w:firstLine="562"/>
        <w:jc w:val="left"/>
        <w:rPr>
          <w:rFonts w:ascii="宋体" w:hAnsi="宋体" w:cs="宋体"/>
          <w:sz w:val="28"/>
          <w:szCs w:val="28"/>
        </w:rPr>
      </w:pPr>
      <w:r>
        <w:rPr>
          <w:rFonts w:hint="eastAsia" w:ascii="宋体" w:hAnsi="宋体" w:cs="宋体"/>
          <w:b/>
          <w:bCs/>
          <w:sz w:val="28"/>
          <w:szCs w:val="28"/>
        </w:rPr>
        <w:t>依据：</w:t>
      </w:r>
      <w:r>
        <w:rPr>
          <w:rFonts w:hint="eastAsia" w:ascii="宋体" w:hAnsi="宋体" w:cs="宋体"/>
          <w:sz w:val="28"/>
          <w:szCs w:val="28"/>
        </w:rPr>
        <w:t>《地铁设计防火标准》（GB51298-2018）第8.2.6条第3款，当补风口与排烟口设置在同一防烟分区时，补风口应设置在室内净高1/2以下。</w:t>
      </w:r>
    </w:p>
    <w:p w14:paraId="52135CF9">
      <w:pPr>
        <w:wordWrap w:val="0"/>
        <w:ind w:firstLine="562"/>
        <w:jc w:val="left"/>
        <w:rPr>
          <w:rFonts w:ascii="宋体" w:hAnsi="宋体" w:cs="宋体"/>
          <w:sz w:val="28"/>
          <w:szCs w:val="28"/>
        </w:rPr>
      </w:pPr>
      <w:r>
        <w:rPr>
          <w:rFonts w:hint="eastAsia" w:ascii="宋体" w:hAnsi="宋体" w:cs="宋体"/>
          <w:b/>
          <w:bCs/>
          <w:sz w:val="28"/>
          <w:szCs w:val="28"/>
        </w:rPr>
        <w:t>案例：</w:t>
      </w:r>
      <w:r>
        <w:rPr>
          <w:rFonts w:hint="eastAsia" w:ascii="宋体" w:hAnsi="宋体" w:cs="宋体"/>
          <w:sz w:val="28"/>
          <w:szCs w:val="28"/>
        </w:rPr>
        <w:t>某</w:t>
      </w:r>
      <w:r>
        <w:rPr>
          <w:rFonts w:hint="eastAsia" w:ascii="宋体" w:hAnsi="宋体" w:cs="宋体"/>
          <w:sz w:val="28"/>
          <w:szCs w:val="28"/>
          <w:lang w:val="en-US" w:eastAsia="zh-CN"/>
        </w:rPr>
        <w:t>车站</w:t>
      </w:r>
      <w:r>
        <w:rPr>
          <w:rFonts w:hint="eastAsia" w:ascii="宋体" w:hAnsi="宋体" w:cs="宋体"/>
          <w:sz w:val="28"/>
          <w:szCs w:val="28"/>
        </w:rPr>
        <w:t>环控机房补风口与排烟口设置在同一防烟分区，空间净高5m，补风口高度应低于2.5m。设计文件中补风口设置高度为4m，在室内净高1/2以上，</w:t>
      </w:r>
      <w:r>
        <w:rPr>
          <w:rFonts w:hint="eastAsia" w:ascii="宋体" w:hAnsi="宋体" w:cs="宋体"/>
          <w:color w:val="000000"/>
          <w:sz w:val="28"/>
        </w:rPr>
        <w:t>不满足上述规范要求</w:t>
      </w:r>
      <w:r>
        <w:rPr>
          <w:rFonts w:hint="eastAsia" w:ascii="宋体" w:hAnsi="宋体" w:cs="宋体"/>
          <w:sz w:val="28"/>
          <w:szCs w:val="28"/>
        </w:rPr>
        <w:t>。</w:t>
      </w:r>
    </w:p>
    <w:p w14:paraId="569120DB">
      <w:pPr>
        <w:wordWrap w:val="0"/>
        <w:jc w:val="center"/>
      </w:pPr>
      <w:r>
        <w:rPr>
          <w:rFonts w:ascii="宋体" w:hAnsi="宋体" w:cs="宋体"/>
          <w:sz w:val="24"/>
          <w:szCs w:val="24"/>
        </w:rPr>
        <w:drawing>
          <wp:inline distT="0" distB="0" distL="114300" distR="114300">
            <wp:extent cx="4604385" cy="4337050"/>
            <wp:effectExtent l="0" t="0" r="13335" b="6350"/>
            <wp:docPr id="3" name="图片 3" descr="IMG_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 descr="IMG_256"/>
                    <pic:cNvPicPr>
                      <a:picLocks noChangeAspect="1"/>
                    </pic:cNvPicPr>
                  </pic:nvPicPr>
                  <pic:blipFill>
                    <a:blip r:embed="rId25"/>
                    <a:stretch>
                      <a:fillRect/>
                    </a:stretch>
                  </pic:blipFill>
                  <pic:spPr>
                    <a:xfrm>
                      <a:off x="0" y="0"/>
                      <a:ext cx="4604385" cy="4337050"/>
                    </a:xfrm>
                    <a:prstGeom prst="rect">
                      <a:avLst/>
                    </a:prstGeom>
                    <a:noFill/>
                    <a:ln w="9525">
                      <a:noFill/>
                    </a:ln>
                  </pic:spPr>
                </pic:pic>
              </a:graphicData>
            </a:graphic>
          </wp:inline>
        </w:drawing>
      </w:r>
    </w:p>
    <w:p w14:paraId="68A175A7">
      <w:pPr>
        <w:wordWrap w:val="0"/>
        <w:ind w:firstLine="560"/>
        <w:jc w:val="left"/>
        <w:rPr>
          <w:rFonts w:ascii="宋体" w:hAnsi="宋体" w:cs="宋体"/>
          <w:sz w:val="28"/>
          <w:szCs w:val="28"/>
        </w:rPr>
      </w:pPr>
    </w:p>
    <w:p w14:paraId="71240FE5">
      <w:pPr>
        <w:wordWrap w:val="0"/>
        <w:ind w:firstLine="544"/>
        <w:jc w:val="left"/>
        <w:rPr>
          <w:rFonts w:asciiTheme="minorEastAsia" w:hAnsiTheme="minorEastAsia" w:cstheme="minorEastAsia"/>
          <w:spacing w:val="-4"/>
          <w:sz w:val="28"/>
          <w:szCs w:val="28"/>
        </w:rPr>
      </w:pPr>
      <w:r>
        <w:rPr>
          <w:rFonts w:hint="eastAsia" w:asciiTheme="minorEastAsia" w:hAnsiTheme="minorEastAsia" w:cstheme="minorEastAsia"/>
          <w:spacing w:val="-4"/>
          <w:sz w:val="28"/>
          <w:szCs w:val="28"/>
        </w:rPr>
        <w:t>5.0.9 补风口与排烟口设置在同一防烟分区时，其与排烟口之间的水平距离不满足要求。</w:t>
      </w:r>
    </w:p>
    <w:p w14:paraId="4595D6FC">
      <w:pPr>
        <w:wordWrap w:val="0"/>
        <w:ind w:firstLine="546"/>
        <w:jc w:val="left"/>
        <w:rPr>
          <w:rFonts w:hint="eastAsia" w:ascii="宋体" w:hAnsi="宋体" w:cs="宋体"/>
          <w:sz w:val="28"/>
          <w:szCs w:val="28"/>
        </w:rPr>
      </w:pPr>
      <w:r>
        <w:rPr>
          <w:rFonts w:hint="eastAsia" w:asciiTheme="minorEastAsia" w:hAnsiTheme="minorEastAsia" w:cstheme="minorEastAsia"/>
          <w:b/>
          <w:bCs/>
          <w:spacing w:val="-4"/>
          <w:sz w:val="28"/>
          <w:szCs w:val="28"/>
        </w:rPr>
        <w:t>依据：</w:t>
      </w:r>
      <w:r>
        <w:rPr>
          <w:rFonts w:hint="eastAsia" w:ascii="宋体" w:hAnsi="宋体" w:cs="宋体"/>
          <w:sz w:val="28"/>
          <w:szCs w:val="28"/>
        </w:rPr>
        <w:t>《地铁设计防火标准》（GB51298-2018）第8.2.6条第3款，当补风口与排烟口设置在同一防烟分区内时，补风口应设置在室内净高1/2以下，水平距离排烟口不应小于10m。</w:t>
      </w:r>
    </w:p>
    <w:p w14:paraId="63D472F7">
      <w:pPr>
        <w:wordWrap w:val="0"/>
        <w:ind w:firstLine="546"/>
        <w:jc w:val="left"/>
        <w:rPr>
          <w:rFonts w:ascii="宋体" w:hAnsi="宋体" w:cs="宋体"/>
          <w:sz w:val="28"/>
          <w:szCs w:val="28"/>
        </w:rPr>
      </w:pPr>
      <w:r>
        <w:rPr>
          <w:rFonts w:hint="eastAsia" w:asciiTheme="minorEastAsia" w:hAnsiTheme="minorEastAsia" w:cstheme="minorEastAsia"/>
          <w:b/>
          <w:bCs/>
          <w:spacing w:val="-4"/>
          <w:sz w:val="28"/>
          <w:szCs w:val="28"/>
        </w:rPr>
        <w:t>案例：</w:t>
      </w:r>
      <w:r>
        <w:rPr>
          <w:rFonts w:hint="eastAsia" w:asciiTheme="minorEastAsia" w:hAnsiTheme="minorEastAsia" w:cstheme="minorEastAsia"/>
          <w:spacing w:val="-4"/>
          <w:sz w:val="28"/>
          <w:szCs w:val="28"/>
        </w:rPr>
        <w:t>某车</w:t>
      </w:r>
      <w:r>
        <w:rPr>
          <w:rFonts w:hint="eastAsia" w:ascii="宋体" w:hAnsi="宋体" w:cs="宋体"/>
          <w:sz w:val="28"/>
          <w:szCs w:val="28"/>
        </w:rPr>
        <w:t>站项目站厅防烟分区补风口与排烟口水平距离为5m，</w:t>
      </w:r>
      <w:r>
        <w:rPr>
          <w:rFonts w:hint="eastAsia" w:ascii="宋体" w:hAnsi="宋体" w:cs="宋体"/>
          <w:color w:val="000000"/>
          <w:sz w:val="28"/>
        </w:rPr>
        <w:t>不满足上述规范要求</w:t>
      </w:r>
      <w:r>
        <w:rPr>
          <w:rFonts w:hint="eastAsia" w:ascii="宋体" w:hAnsi="宋体" w:cs="宋体"/>
          <w:sz w:val="28"/>
          <w:szCs w:val="28"/>
        </w:rPr>
        <w:t>。</w:t>
      </w:r>
    </w:p>
    <w:p w14:paraId="5DF1FFB3">
      <w:pPr>
        <w:jc w:val="center"/>
        <w:rPr>
          <w:rFonts w:ascii="宋体" w:hAnsi="宋体" w:cs="宋体"/>
          <w:sz w:val="28"/>
          <w:szCs w:val="28"/>
        </w:rPr>
      </w:pPr>
      <w:r>
        <w:rPr>
          <w:rFonts w:hint="eastAsia" w:asciiTheme="minorEastAsia" w:hAnsiTheme="minorEastAsia" w:cstheme="minorEastAsia"/>
          <w:spacing w:val="-4"/>
          <w:sz w:val="28"/>
          <w:szCs w:val="28"/>
        </w:rPr>
        <w:drawing>
          <wp:inline distT="0" distB="0" distL="0" distR="0">
            <wp:extent cx="3956050" cy="4463415"/>
            <wp:effectExtent l="0" t="0" r="0" b="1905"/>
            <wp:docPr id="12" name="图片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图片 12"/>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a:xfrm>
                      <a:off x="0" y="0"/>
                      <a:ext cx="3956050" cy="4463415"/>
                    </a:xfrm>
                    <a:prstGeom prst="rect">
                      <a:avLst/>
                    </a:prstGeom>
                    <a:noFill/>
                    <a:ln>
                      <a:noFill/>
                    </a:ln>
                  </pic:spPr>
                </pic:pic>
              </a:graphicData>
            </a:graphic>
          </wp:inline>
        </w:drawing>
      </w:r>
    </w:p>
    <w:p w14:paraId="6617514A">
      <w:pPr>
        <w:wordWrap w:val="0"/>
        <w:ind w:firstLine="560"/>
        <w:jc w:val="left"/>
        <w:rPr>
          <w:rFonts w:ascii="宋体" w:hAnsi="宋体" w:cs="宋体"/>
          <w:sz w:val="28"/>
          <w:szCs w:val="28"/>
        </w:rPr>
      </w:pPr>
    </w:p>
    <w:p w14:paraId="6423BDE9">
      <w:pPr>
        <w:wordWrap w:val="0"/>
        <w:ind w:firstLine="560"/>
        <w:jc w:val="left"/>
        <w:rPr>
          <w:rFonts w:ascii="宋体" w:hAnsi="宋体" w:cs="宋体"/>
          <w:sz w:val="28"/>
          <w:szCs w:val="28"/>
        </w:rPr>
      </w:pPr>
      <w:r>
        <w:rPr>
          <w:rFonts w:hint="eastAsia" w:ascii="宋体" w:hAnsi="宋体" w:cs="宋体"/>
          <w:sz w:val="28"/>
          <w:szCs w:val="28"/>
        </w:rPr>
        <w:t xml:space="preserve">5.0.10 </w:t>
      </w:r>
      <w:r>
        <w:rPr>
          <w:rFonts w:hint="eastAsia" w:ascii="宋体" w:hAnsi="宋体" w:cs="宋体"/>
          <w:sz w:val="28"/>
          <w:szCs w:val="28"/>
          <w:highlight w:val="none"/>
        </w:rPr>
        <w:t>当排烟口设置在空间较为局促区域时，设计排烟量超过规范允许值。</w:t>
      </w:r>
    </w:p>
    <w:p w14:paraId="41443EC0">
      <w:pPr>
        <w:wordWrap w:val="0"/>
        <w:ind w:firstLine="562"/>
        <w:jc w:val="left"/>
        <w:rPr>
          <w:rFonts w:ascii="宋体" w:hAnsi="宋体" w:cs="宋体"/>
          <w:sz w:val="28"/>
          <w:szCs w:val="28"/>
        </w:rPr>
      </w:pPr>
      <w:r>
        <w:rPr>
          <w:rFonts w:hint="eastAsia" w:ascii="宋体" w:hAnsi="宋体" w:cs="宋体"/>
          <w:b/>
          <w:bCs/>
          <w:sz w:val="28"/>
          <w:szCs w:val="28"/>
        </w:rPr>
        <w:t>依据：</w:t>
      </w:r>
      <w:r>
        <w:rPr>
          <w:rFonts w:hint="eastAsia" w:ascii="宋体" w:hAnsi="宋体" w:cs="宋体"/>
          <w:sz w:val="28"/>
          <w:szCs w:val="28"/>
        </w:rPr>
        <w:t>《建筑防烟排烟系统技术标准》（GB51251-2017）第4.4.12条第6款，每个排烟口的排烟量不应大于最大允许排烟量，最大允许排烟量应按本标准第4.6.14条规定计算确定；《建筑防烟排烟系统技术标准》（GB51251-2017）附录B注1，本表仅适用于排烟口设置于建筑空间顶部，且排烟口中心点至最近墙体的距离大于或等于2倍排烟口当量直径的情形。当小于2倍或排烟口设于侧墙时，应按表中的最大允许排烟量减半。</w:t>
      </w:r>
    </w:p>
    <w:p w14:paraId="3102ED9B">
      <w:pPr>
        <w:wordWrap w:val="0"/>
        <w:ind w:firstLine="562"/>
        <w:jc w:val="left"/>
        <w:rPr>
          <w:rFonts w:ascii="宋体" w:hAnsi="宋体" w:cs="宋体"/>
          <w:sz w:val="28"/>
          <w:szCs w:val="28"/>
        </w:rPr>
      </w:pPr>
    </w:p>
    <w:p w14:paraId="16F41F3F">
      <w:pPr>
        <w:wordWrap w:val="0"/>
        <w:ind w:firstLine="560"/>
        <w:jc w:val="left"/>
        <w:rPr>
          <w:rFonts w:ascii="宋体" w:hAnsi="宋体" w:cs="宋体"/>
          <w:sz w:val="28"/>
          <w:szCs w:val="28"/>
        </w:rPr>
      </w:pPr>
      <w:r>
        <w:rPr>
          <w:rFonts w:hint="eastAsia" w:ascii="宋体" w:hAnsi="宋体" w:cs="宋体"/>
          <w:sz w:val="28"/>
          <w:szCs w:val="28"/>
        </w:rPr>
        <w:t>5.0.11 空调、通风、防排烟管道穿越防火隔墙处未设置防火阀，违反有关强制性规范要求。</w:t>
      </w:r>
    </w:p>
    <w:p w14:paraId="6027C362">
      <w:pPr>
        <w:wordWrap w:val="0"/>
        <w:ind w:firstLine="562"/>
        <w:jc w:val="left"/>
        <w:rPr>
          <w:rFonts w:ascii="宋体" w:hAnsi="宋体" w:cs="宋体"/>
          <w:sz w:val="28"/>
          <w:szCs w:val="28"/>
        </w:rPr>
      </w:pPr>
      <w:r>
        <w:rPr>
          <w:rFonts w:hint="eastAsia" w:ascii="宋体" w:hAnsi="宋体" w:cs="宋体"/>
          <w:b/>
          <w:bCs/>
          <w:sz w:val="28"/>
          <w:szCs w:val="28"/>
        </w:rPr>
        <w:t>依据：</w:t>
      </w:r>
      <w:r>
        <w:rPr>
          <w:rFonts w:hint="eastAsia" w:ascii="宋体" w:hAnsi="宋体" w:cs="宋体"/>
          <w:sz w:val="28"/>
          <w:szCs w:val="28"/>
        </w:rPr>
        <w:t>《建筑防火通用规范》（GB55037-2022）第6.3.5条，通风和空气调节系统的管道、防烟与排烟系统的管道穿过防火墙、防火隔墙、楼板、建筑变形缝处，建筑内未按防火分区独立设置的通风和空气调节系统中竖向风管与每层水平风管交接的水平管段处，均应采取防止火灾通过管道蔓延至其他防火分隔区域的措施。</w:t>
      </w:r>
    </w:p>
    <w:p w14:paraId="03079FC9">
      <w:pPr>
        <w:wordWrap w:val="0"/>
        <w:ind w:firstLine="562"/>
        <w:jc w:val="left"/>
        <w:rPr>
          <w:rFonts w:ascii="宋体" w:hAnsi="宋体" w:cs="宋体"/>
          <w:b/>
          <w:bCs/>
          <w:sz w:val="28"/>
          <w:szCs w:val="28"/>
        </w:rPr>
      </w:pPr>
    </w:p>
    <w:p w14:paraId="58F52E63">
      <w:pPr>
        <w:wordWrap w:val="0"/>
        <w:ind w:firstLine="560"/>
        <w:jc w:val="left"/>
        <w:rPr>
          <w:rFonts w:ascii="宋体" w:hAnsi="宋体" w:cs="宋体"/>
          <w:sz w:val="28"/>
          <w:szCs w:val="28"/>
          <w:highlight w:val="none"/>
        </w:rPr>
      </w:pPr>
      <w:r>
        <w:rPr>
          <w:rFonts w:hint="eastAsia" w:ascii="宋体" w:hAnsi="宋体" w:cs="宋体"/>
          <w:sz w:val="28"/>
          <w:szCs w:val="28"/>
          <w:highlight w:val="none"/>
        </w:rPr>
        <w:t>5.0.12 非承担轨行区域防排烟系统管道（不含地下车站至地面集中设置的排烟风道、进风道），错误地采用土建风道。</w:t>
      </w:r>
    </w:p>
    <w:p w14:paraId="6B7804F5">
      <w:pPr>
        <w:wordWrap w:val="0"/>
        <w:ind w:firstLine="562"/>
        <w:jc w:val="left"/>
        <w:rPr>
          <w:rFonts w:ascii="宋体" w:hAnsi="宋体" w:cs="宋体"/>
          <w:sz w:val="28"/>
          <w:szCs w:val="28"/>
          <w:highlight w:val="none"/>
        </w:rPr>
      </w:pPr>
      <w:r>
        <w:rPr>
          <w:rFonts w:hint="eastAsia" w:ascii="宋体" w:hAnsi="宋体" w:cs="宋体"/>
          <w:b/>
          <w:bCs/>
          <w:sz w:val="28"/>
          <w:szCs w:val="28"/>
          <w:highlight w:val="none"/>
        </w:rPr>
        <w:t>依据：</w:t>
      </w:r>
      <w:r>
        <w:rPr>
          <w:rFonts w:hint="eastAsia" w:ascii="宋体" w:hAnsi="宋体" w:cs="宋体"/>
          <w:sz w:val="28"/>
          <w:szCs w:val="28"/>
          <w:highlight w:val="none"/>
        </w:rPr>
        <w:t>《消防设施通用规范》（GB55036-2022）第11.1.3条，“机械加压送风管道和机械排烟管道均应采用不燃性材料，且管道内表面应光滑，管道的密闭性能应满足火灾时加压送风或排烟要求。”，未规定相关管道不得采用土建风道。《地铁设计防火标准》（GB51298-2018）第8.4.8条，除承担轨行区域的防排烟系统外，其余区域的防排烟系统管道应采用金属或其他非土建</w:t>
      </w:r>
      <w:r>
        <w:rPr>
          <w:rFonts w:hint="eastAsia" w:ascii="宋体" w:hAnsi="宋体" w:cs="宋体"/>
          <w:sz w:val="28"/>
          <w:szCs w:val="28"/>
          <w:highlight w:val="none"/>
          <w:lang w:val="en-US" w:eastAsia="zh-CN"/>
        </w:rPr>
        <w:t>井</w:t>
      </w:r>
      <w:r>
        <w:rPr>
          <w:rFonts w:hint="eastAsia" w:ascii="宋体" w:hAnsi="宋体" w:cs="宋体"/>
          <w:sz w:val="28"/>
          <w:szCs w:val="28"/>
          <w:highlight w:val="none"/>
        </w:rPr>
        <w:t>道。该规定要求高于《消防设施通用规范》（GB55036-2022）相关规定，应按此执行。根据该条条文说明，地下车站排风（烟）井（道）不在此规定范围，实际情况是地下车站至地面的进排风道也难以采用非土建风道，因此该部分风道可采用土建风道。</w:t>
      </w:r>
    </w:p>
    <w:p w14:paraId="010670AC">
      <w:pPr>
        <w:wordWrap w:val="0"/>
        <w:ind w:firstLine="562"/>
        <w:jc w:val="left"/>
        <w:rPr>
          <w:rFonts w:ascii="宋体" w:hAnsi="宋体" w:cs="宋体"/>
          <w:b/>
          <w:bCs/>
          <w:sz w:val="28"/>
          <w:szCs w:val="28"/>
        </w:rPr>
      </w:pPr>
    </w:p>
    <w:p w14:paraId="2AA5C4E7">
      <w:pPr>
        <w:wordWrap w:val="0"/>
        <w:ind w:firstLine="560"/>
        <w:jc w:val="left"/>
        <w:rPr>
          <w:rFonts w:ascii="宋体" w:hAnsi="宋体" w:cs="宋体"/>
          <w:sz w:val="28"/>
          <w:szCs w:val="28"/>
        </w:rPr>
      </w:pPr>
      <w:r>
        <w:rPr>
          <w:rFonts w:hint="eastAsia" w:ascii="宋体" w:hAnsi="宋体" w:cs="宋体"/>
          <w:sz w:val="28"/>
          <w:szCs w:val="28"/>
        </w:rPr>
        <w:t>5.0.13 加压送风机、排烟风机、补风机距离（水平及竖向）墙壁或其他设备不满足600mm以上要求。</w:t>
      </w:r>
    </w:p>
    <w:p w14:paraId="279F8634">
      <w:pPr>
        <w:wordWrap w:val="0"/>
        <w:ind w:firstLine="562"/>
        <w:jc w:val="left"/>
        <w:rPr>
          <w:rFonts w:ascii="宋体" w:hAnsi="宋体" w:cs="宋体"/>
          <w:sz w:val="28"/>
          <w:szCs w:val="28"/>
          <w:highlight w:val="none"/>
        </w:rPr>
      </w:pPr>
      <w:r>
        <w:rPr>
          <w:rFonts w:hint="eastAsia" w:ascii="宋体" w:hAnsi="宋体" w:cs="宋体"/>
          <w:b/>
          <w:bCs/>
          <w:sz w:val="28"/>
          <w:szCs w:val="28"/>
          <w:highlight w:val="none"/>
        </w:rPr>
        <w:t>依据：</w:t>
      </w:r>
      <w:r>
        <w:rPr>
          <w:rFonts w:hint="eastAsia" w:ascii="宋体" w:hAnsi="宋体" w:cs="宋体"/>
          <w:sz w:val="28"/>
          <w:szCs w:val="28"/>
          <w:highlight w:val="none"/>
        </w:rPr>
        <w:t>《建筑防烟排烟系统技术标准》（GB51251-2017）第4.4.5条，排烟风机应设置在专用机房内，并应符合本标准第3.3.5条第5款的规定，且风机两侧应有600mm以上空间；《建筑防烟排烟系统技术标准》（GB51251-2017）第6.5.2条，风机外壳至墙壁或其他设备的距离不应小于600mm。</w:t>
      </w:r>
    </w:p>
    <w:p w14:paraId="44452526">
      <w:pPr>
        <w:wordWrap w:val="0"/>
        <w:ind w:firstLine="560"/>
        <w:jc w:val="left"/>
        <w:rPr>
          <w:rFonts w:ascii="宋体" w:hAnsi="宋体" w:cs="宋体"/>
          <w:sz w:val="28"/>
          <w:szCs w:val="28"/>
        </w:rPr>
      </w:pPr>
      <w:r>
        <w:rPr>
          <w:rFonts w:hint="eastAsia" w:ascii="宋体" w:hAnsi="宋体" w:cs="宋体"/>
          <w:sz w:val="28"/>
          <w:szCs w:val="28"/>
        </w:rPr>
        <w:t>应当注意，依据上述6.5.2条，防排烟系统风机四周距离墙壁或其他设备均应不小于600mm。</w:t>
      </w:r>
    </w:p>
    <w:p w14:paraId="18F28127">
      <w:pPr>
        <w:wordWrap w:val="0"/>
        <w:ind w:firstLine="562"/>
        <w:jc w:val="left"/>
        <w:rPr>
          <w:rFonts w:ascii="宋体" w:hAnsi="宋体" w:cs="宋体"/>
          <w:b/>
          <w:bCs/>
          <w:sz w:val="28"/>
          <w:szCs w:val="28"/>
        </w:rPr>
      </w:pPr>
      <w:r>
        <w:rPr>
          <w:rFonts w:hint="eastAsia" w:ascii="宋体" w:hAnsi="宋体" w:cs="宋体"/>
          <w:b/>
          <w:bCs/>
          <w:sz w:val="28"/>
          <w:szCs w:val="28"/>
        </w:rPr>
        <w:t>案例：</w:t>
      </w:r>
      <w:r>
        <w:rPr>
          <w:rFonts w:hint="eastAsia" w:ascii="宋体" w:hAnsi="宋体" w:cs="宋体"/>
          <w:sz w:val="28"/>
          <w:szCs w:val="28"/>
        </w:rPr>
        <w:t>某车站某一机械加压送风系统加压送风机，水平距离两侧墙壁仅分别为470mm、300mm，</w:t>
      </w:r>
      <w:r>
        <w:rPr>
          <w:rFonts w:hint="eastAsia" w:ascii="宋体" w:hAnsi="宋体" w:cs="宋体"/>
          <w:color w:val="000000"/>
          <w:sz w:val="28"/>
        </w:rPr>
        <w:t>不满足上述规范要求</w:t>
      </w:r>
      <w:r>
        <w:rPr>
          <w:rFonts w:hint="eastAsia" w:ascii="宋体" w:hAnsi="宋体" w:cs="宋体"/>
          <w:sz w:val="28"/>
          <w:szCs w:val="28"/>
        </w:rPr>
        <w:t>。</w:t>
      </w:r>
    </w:p>
    <w:p w14:paraId="58101892">
      <w:pPr>
        <w:wordWrap w:val="0"/>
        <w:jc w:val="center"/>
      </w:pPr>
      <w:r>
        <w:drawing>
          <wp:inline distT="0" distB="0" distL="0" distR="0">
            <wp:extent cx="4045585" cy="2771140"/>
            <wp:effectExtent l="0" t="0" r="8255" b="2540"/>
            <wp:docPr id="1722208804"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22208804" name="图片 1"/>
                    <pic:cNvPicPr>
                      <a:picLocks noChangeAspect="1"/>
                    </pic:cNvPicPr>
                  </pic:nvPicPr>
                  <pic:blipFill>
                    <a:blip r:embed="rId27"/>
                    <a:stretch>
                      <a:fillRect/>
                    </a:stretch>
                  </pic:blipFill>
                  <pic:spPr>
                    <a:xfrm>
                      <a:off x="0" y="0"/>
                      <a:ext cx="4045585" cy="2771140"/>
                    </a:xfrm>
                    <a:prstGeom prst="rect">
                      <a:avLst/>
                    </a:prstGeom>
                  </pic:spPr>
                </pic:pic>
              </a:graphicData>
            </a:graphic>
          </wp:inline>
        </w:drawing>
      </w:r>
    </w:p>
    <w:p w14:paraId="60DF6CCE">
      <w:pPr>
        <w:wordWrap w:val="0"/>
        <w:jc w:val="center"/>
      </w:pPr>
    </w:p>
    <w:p w14:paraId="4EF8D6BB">
      <w:pPr>
        <w:wordWrap w:val="0"/>
        <w:ind w:firstLine="544"/>
        <w:jc w:val="left"/>
        <w:rPr>
          <w:rFonts w:asciiTheme="minorEastAsia" w:hAnsiTheme="minorEastAsia" w:cstheme="minorEastAsia"/>
          <w:spacing w:val="-4"/>
          <w:sz w:val="28"/>
          <w:szCs w:val="28"/>
          <w:highlight w:val="none"/>
        </w:rPr>
      </w:pPr>
      <w:r>
        <w:rPr>
          <w:rFonts w:hint="eastAsia" w:asciiTheme="minorEastAsia" w:hAnsiTheme="minorEastAsia" w:cstheme="minorEastAsia"/>
          <w:spacing w:val="-4"/>
          <w:sz w:val="28"/>
          <w:szCs w:val="28"/>
        </w:rPr>
        <w:t>5.0.14 设置在楼扶梯处的挡烟垂壁高度不</w:t>
      </w:r>
      <w:r>
        <w:rPr>
          <w:rFonts w:hint="eastAsia" w:ascii="宋体" w:hAnsi="宋体" w:cs="宋体"/>
          <w:sz w:val="28"/>
          <w:szCs w:val="28"/>
        </w:rPr>
        <w:t>足2.3m，</w:t>
      </w:r>
      <w:r>
        <w:rPr>
          <w:rFonts w:hint="eastAsia" w:asciiTheme="minorEastAsia" w:hAnsiTheme="minorEastAsia" w:cstheme="minorEastAsia"/>
          <w:spacing w:val="-4"/>
          <w:sz w:val="28"/>
          <w:szCs w:val="28"/>
          <w:highlight w:val="none"/>
        </w:rPr>
        <w:t>不满足要求。</w:t>
      </w:r>
    </w:p>
    <w:p w14:paraId="362B6B4C">
      <w:pPr>
        <w:ind w:firstLine="546"/>
        <w:jc w:val="left"/>
        <w:rPr>
          <w:rFonts w:ascii="宋体" w:hAnsi="宋体" w:cs="宋体"/>
          <w:sz w:val="28"/>
          <w:szCs w:val="28"/>
        </w:rPr>
      </w:pPr>
      <w:r>
        <w:rPr>
          <w:rFonts w:hint="eastAsia" w:asciiTheme="minorEastAsia" w:hAnsiTheme="minorEastAsia" w:cstheme="minorEastAsia"/>
          <w:b/>
          <w:bCs/>
          <w:spacing w:val="-4"/>
          <w:sz w:val="28"/>
          <w:szCs w:val="28"/>
        </w:rPr>
        <w:t>依据：</w:t>
      </w:r>
      <w:r>
        <w:rPr>
          <w:rFonts w:hint="eastAsia" w:asciiTheme="minorEastAsia" w:hAnsiTheme="minorEastAsia" w:cstheme="minorEastAsia"/>
          <w:spacing w:val="-4"/>
          <w:sz w:val="28"/>
          <w:szCs w:val="28"/>
        </w:rPr>
        <w:t>《地铁设计防</w:t>
      </w:r>
      <w:r>
        <w:rPr>
          <w:rFonts w:hint="eastAsia" w:ascii="宋体" w:hAnsi="宋体" w:cs="宋体"/>
          <w:sz w:val="28"/>
          <w:szCs w:val="28"/>
        </w:rPr>
        <w:t>火标准》（GB51298-2018）第8.1.7条，挡烟垂壁的下缘距地面、楼梯或扶梯踏步面的垂直距离应不小于2.3m。</w:t>
      </w:r>
    </w:p>
    <w:p w14:paraId="29A10625"/>
    <w:p w14:paraId="4224689D">
      <w:pPr>
        <w:pageBreakBefore w:val="0"/>
        <w:kinsoku/>
        <w:wordWrap w:val="0"/>
        <w:topLinePunct w:val="0"/>
        <w:bidi w:val="0"/>
        <w:snapToGrid/>
        <w:jc w:val="left"/>
        <w:textAlignment w:val="auto"/>
        <w:rPr>
          <w:rFonts w:hint="eastAsia" w:ascii="宋体" w:hAnsi="宋体" w:cs="宋体"/>
          <w:sz w:val="28"/>
          <w:szCs w:val="28"/>
        </w:rPr>
      </w:pPr>
    </w:p>
    <w:sectPr>
      <w:pgSz w:w="11906" w:h="16838"/>
      <w:pgMar w:top="1440" w:right="1800" w:bottom="1440" w:left="1800" w:header="851" w:footer="992" w:gutter="0"/>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A1"/>
    <w:family w:val="roman"/>
    <w:pitch w:val="default"/>
    <w:sig w:usb0="E0002EFF" w:usb1="C000785B" w:usb2="00000009" w:usb3="00000000" w:csb0="400001FF" w:csb1="FFFF0000"/>
  </w:font>
  <w:font w:name="宋体">
    <w:panose1 w:val="02010600030101010101"/>
    <w:charset w:val="7A"/>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 w:name="Calibri Light">
    <w:panose1 w:val="020F0302020204030204"/>
    <w:charset w:val="00"/>
    <w:family w:val="swiss"/>
    <w:pitch w:val="default"/>
    <w:sig w:usb0="E4002EFF" w:usb1="C000247B" w:usb2="00000009" w:usb3="00000000" w:csb0="200001FF" w:csb1="00000000"/>
  </w:font>
  <w:font w:name="仿宋_GB2312">
    <w:altName w:val="仿宋"/>
    <w:panose1 w:val="02010609030101010101"/>
    <w:charset w:val="86"/>
    <w:family w:val="modern"/>
    <w:pitch w:val="default"/>
    <w:sig w:usb0="00000000" w:usb1="00000000" w:usb2="00000000" w:usb3="00000000" w:csb0="00040000" w:csb1="00000000"/>
  </w:font>
  <w:font w:name="方正黑体_GBK">
    <w:panose1 w:val="03000509000000000000"/>
    <w:charset w:val="86"/>
    <w:family w:val="script"/>
    <w:pitch w:val="default"/>
    <w:sig w:usb0="00000001" w:usb1="080E0000" w:usb2="00000000" w:usb3="00000000" w:csb0="00040000" w:csb1="00000000"/>
  </w:font>
  <w:font w:name="Cambria Math">
    <w:panose1 w:val="02040503050406030204"/>
    <w:charset w:val="00"/>
    <w:family w:val="roman"/>
    <w:pitch w:val="default"/>
    <w:sig w:usb0="E00006FF" w:usb1="420024FF" w:usb2="02000000" w:usb3="00000000" w:csb0="2000019F" w:csb1="00000000"/>
  </w:font>
  <w:font w:name="仿宋">
    <w:panose1 w:val="02010609060101010101"/>
    <w:charset w:val="86"/>
    <w:family w:val="auto"/>
    <w:pitch w:val="default"/>
    <w:sig w:usb0="800002BF" w:usb1="38CF7CFA" w:usb2="00000016" w:usb3="00000000" w:csb0="00040001"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20"/>
  <w:bordersDoNotSurroundHeader w:val="0"/>
  <w:bordersDoNotSurroundFooter w:val="0"/>
  <w:documentProtection w:enforcement="0"/>
  <w:defaultTabStop w:val="420"/>
  <w:drawingGridHorizontalSpacing w:val="105"/>
  <w:drawingGridVerticalSpacing w:val="156"/>
  <w:displayHorizontalDrawingGridEvery w:val="1"/>
  <w:displayVerticalDrawingGridEvery w:val="1"/>
  <w:noPunctuationKerning w:val="1"/>
  <w:characterSpacingControl w:val="compressPunctuation"/>
  <w:compat>
    <w:spaceForUL/>
    <w:balanceSingleByteDoubleByteWidth/>
    <w:ulTrailSpace/>
    <w:doNotExpandShiftReturn/>
    <w:adjustLineHeightInTable/>
    <w:doNotWrapTextWithPunct/>
    <w:doNotUseEastAsianBreakRules/>
    <w:useFELayout/>
    <w:doNotUseIndentAsNumberingTabStop/>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commondata" w:val="eyJoZGlkIjoiZDdlODc3NDBjMTdkNWQ0NDBkZjZhNTI1ZDVmMDc2ZGQifQ=="/>
  </w:docVars>
  <w:rsids>
    <w:rsidRoot w:val="00F32CEC"/>
    <w:rsid w:val="00066392"/>
    <w:rsid w:val="002431DB"/>
    <w:rsid w:val="002F1B4D"/>
    <w:rsid w:val="005F0822"/>
    <w:rsid w:val="007205EE"/>
    <w:rsid w:val="00806B97"/>
    <w:rsid w:val="00815DB2"/>
    <w:rsid w:val="008A0814"/>
    <w:rsid w:val="009D06A2"/>
    <w:rsid w:val="009E21C8"/>
    <w:rsid w:val="00BB665A"/>
    <w:rsid w:val="00CD0FF4"/>
    <w:rsid w:val="00D27BED"/>
    <w:rsid w:val="00D94E2C"/>
    <w:rsid w:val="00DD6AE6"/>
    <w:rsid w:val="00F32CEC"/>
    <w:rsid w:val="00F92AA3"/>
    <w:rsid w:val="00FF0704"/>
    <w:rsid w:val="013515B5"/>
    <w:rsid w:val="01C52C60"/>
    <w:rsid w:val="04BC4900"/>
    <w:rsid w:val="07B93B4D"/>
    <w:rsid w:val="08282903"/>
    <w:rsid w:val="09130C7C"/>
    <w:rsid w:val="0C0A1C09"/>
    <w:rsid w:val="0D42530A"/>
    <w:rsid w:val="12942106"/>
    <w:rsid w:val="15B841E2"/>
    <w:rsid w:val="179E5001"/>
    <w:rsid w:val="18DB03EF"/>
    <w:rsid w:val="1BF4566B"/>
    <w:rsid w:val="1CE32027"/>
    <w:rsid w:val="26ED6065"/>
    <w:rsid w:val="2DC10524"/>
    <w:rsid w:val="38667BD9"/>
    <w:rsid w:val="414059E8"/>
    <w:rsid w:val="4268172A"/>
    <w:rsid w:val="4670180B"/>
    <w:rsid w:val="4E807407"/>
    <w:rsid w:val="52E87329"/>
    <w:rsid w:val="536A328D"/>
    <w:rsid w:val="55D22428"/>
    <w:rsid w:val="58155AAB"/>
    <w:rsid w:val="59527A48"/>
    <w:rsid w:val="5B4E6799"/>
    <w:rsid w:val="5C021154"/>
    <w:rsid w:val="5F606F1B"/>
    <w:rsid w:val="62726B3F"/>
    <w:rsid w:val="644D7933"/>
    <w:rsid w:val="660B1002"/>
    <w:rsid w:val="66E300DB"/>
    <w:rsid w:val="6AFA5223"/>
    <w:rsid w:val="6E89699F"/>
    <w:rsid w:val="76740721"/>
    <w:rsid w:val="787D2D79"/>
    <w:rsid w:val="7A371136"/>
    <w:rsid w:val="7C2F4E2A"/>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fillcolor="#FFFFFF" fill="t" stroke="t">
      <v:fill on="t" focussize="0,0"/>
      <v:stroke color="#000000"/>
    </o:shapedefaults>
    <o:shapelayout v:ext="edit">
      <o:idmap v:ext="edit" data="2"/>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9" w:semiHidden="0" w:name="heading 1"/>
    <w:lsdException w:qFormat="1" w:uiPriority="9" w:semiHidden="0" w:name="heading 2"/>
    <w:lsdException w:qFormat="1" w:uiPriority="9" w:name="heading 3"/>
    <w:lsdException w:qFormat="1" w:uiPriority="9" w:name="heading 4"/>
    <w:lsdException w:qFormat="1" w:uiPriority="9" w:name="heading 5"/>
    <w:lsdException w:qFormat="1" w:uiPriority="9"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uiPriority="39" w:name="toc 1"/>
    <w:lsdException w:uiPriority="39" w:name="toc 2"/>
    <w:lsdException w:uiPriority="39" w:name="toc 3"/>
    <w:lsdException w:uiPriority="39" w:name="toc 4"/>
    <w:lsdException w:uiPriority="39" w:name="toc 5"/>
    <w:lsdException w:uiPriority="39" w:name="toc 6"/>
    <w:lsdException w:uiPriority="39" w:name="toc 7"/>
    <w:lsdException w:uiPriority="39" w:name="toc 8"/>
    <w:lsdException w:uiPriority="39" w:name="toc 9"/>
    <w:lsdException w:uiPriority="99" w:name="Normal Indent"/>
    <w:lsdException w:uiPriority="99" w:name="footnote text"/>
    <w:lsdException w:qFormat="1" w:unhideWhenUsed="0" w:uiPriority="0" w:semiHidden="0" w:name="annotation text"/>
    <w:lsdException w:qFormat="1" w:uiPriority="99" w:semiHidden="0" w:name="header"/>
    <w:lsdException w:qFormat="1" w:uiPriority="99" w:semiHidden="0" w:name="footer"/>
    <w:lsdException w:uiPriority="99" w:name="index heading"/>
    <w:lsdException w:qFormat="1" w:uiPriority="35" w:name="caption"/>
    <w:lsdException w:uiPriority="99" w:name="table of figures"/>
    <w:lsdException w:uiPriority="99" w:name="envelope address"/>
    <w:lsdException w:uiPriority="99" w:name="envelope return"/>
    <w:lsdException w:uiPriority="99" w:name="footnote reference"/>
    <w:lsdException w:qFormat="1" w:unhideWhenUsed="0" w:uiPriority="0" w:semiHidden="0" w:name="annotation reference"/>
    <w:lsdException w:uiPriority="99" w:name="line number"/>
    <w:lsdException w:uiPriority="99"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qFormat="1" w:uiPriority="1" w:name="Default Paragraph Font"/>
    <w:lsdException w:uiPriority="99" w:name="Body Text"/>
    <w:lsdException w:qFormat="1" w:unhideWhenUsed="0" w:uiPriority="0" w:semiHidden="0"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uiPriority="99" w:name="Date"/>
    <w:lsdException w:uiPriority="99" w:name="Body Text First Indent"/>
    <w:lsdException w:uiPriority="99"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qFormat="1" w:unhideWhenUsed="0" w:uiPriority="0" w:semiHidden="0" w:name="Hyperlink"/>
    <w:lsdException w:uiPriority="99" w:name="FollowedHyperlink"/>
    <w:lsdException w:qFormat="1" w:unhideWhenUsed="0" w:uiPriority="22" w:semiHidden="0" w:name="Strong"/>
    <w:lsdException w:qFormat="1" w:unhideWhenUsed="0" w:uiPriority="20" w:semiHidden="0" w:name="Emphasis"/>
    <w:lsdException w:uiPriority="99" w:name="Document Map"/>
    <w:lsdException w:uiPriority="99" w:name="Plain Text"/>
    <w:lsdException w:uiPriority="99" w:name="E-mail Signature"/>
    <w:lsdException w:qFormat="1" w:unhideWhenUsed="0" w:uiPriority="0" w:semiHidden="0"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qFormat="1" w:uiPriority="99" w:name="Normal Table"/>
    <w:lsdException w:qFormat="1" w:unhideWhenUsed="0" w:uiPriority="0" w:semiHidden="0"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uiPriority="99" w:name="Balloon Text"/>
    <w:lsdException w:unhideWhenUsed="0" w:uiPriority="39" w:semiHidden="0"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0"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Calibri" w:hAnsi="Calibri" w:eastAsia="宋体" w:cs="Calibri"/>
      <w:kern w:val="2"/>
      <w:sz w:val="21"/>
      <w:szCs w:val="21"/>
      <w:lang w:val="en-US" w:eastAsia="zh-CN" w:bidi="ar-SA"/>
    </w:rPr>
  </w:style>
  <w:style w:type="paragraph" w:styleId="2">
    <w:name w:val="heading 1"/>
    <w:basedOn w:val="1"/>
    <w:next w:val="1"/>
    <w:link w:val="16"/>
    <w:qFormat/>
    <w:uiPriority w:val="9"/>
    <w:pPr>
      <w:keepNext/>
      <w:keepLines/>
      <w:spacing w:before="340" w:after="330" w:line="578" w:lineRule="auto"/>
      <w:outlineLvl w:val="0"/>
    </w:pPr>
    <w:rPr>
      <w:b/>
      <w:bCs/>
      <w:kern w:val="44"/>
      <w:sz w:val="44"/>
      <w:szCs w:val="44"/>
    </w:rPr>
  </w:style>
  <w:style w:type="paragraph" w:styleId="3">
    <w:name w:val="heading 2"/>
    <w:basedOn w:val="1"/>
    <w:next w:val="1"/>
    <w:link w:val="15"/>
    <w:unhideWhenUsed/>
    <w:qFormat/>
    <w:uiPriority w:val="9"/>
    <w:pPr>
      <w:keepNext/>
      <w:keepLines/>
      <w:spacing w:before="260" w:after="260" w:line="415" w:lineRule="auto"/>
      <w:outlineLvl w:val="1"/>
    </w:pPr>
    <w:rPr>
      <w:rFonts w:ascii="Calibri Light" w:hAnsi="Calibri Light" w:cs="Times New Roman"/>
      <w:b/>
      <w:bCs/>
      <w:sz w:val="32"/>
      <w:szCs w:val="32"/>
    </w:rPr>
  </w:style>
  <w:style w:type="paragraph" w:styleId="4">
    <w:name w:val="heading 3"/>
    <w:basedOn w:val="1"/>
    <w:next w:val="1"/>
    <w:link w:val="17"/>
    <w:semiHidden/>
    <w:unhideWhenUsed/>
    <w:qFormat/>
    <w:uiPriority w:val="9"/>
    <w:pPr>
      <w:keepNext/>
      <w:keepLines/>
      <w:spacing w:before="260" w:after="260" w:line="415" w:lineRule="auto"/>
      <w:outlineLvl w:val="2"/>
    </w:pPr>
    <w:rPr>
      <w:b/>
      <w:bCs/>
      <w:sz w:val="32"/>
      <w:szCs w:val="32"/>
    </w:rPr>
  </w:style>
  <w:style w:type="character" w:default="1" w:styleId="12">
    <w:name w:val="Default Paragraph Font"/>
    <w:semiHidden/>
    <w:unhideWhenUsed/>
    <w:qFormat/>
    <w:uiPriority w:val="1"/>
  </w:style>
  <w:style w:type="table" w:default="1" w:styleId="11">
    <w:name w:val="Normal Table"/>
    <w:semiHidden/>
    <w:unhideWhenUsed/>
    <w:qFormat/>
    <w:uiPriority w:val="99"/>
    <w:tblPr>
      <w:tblCellMar>
        <w:top w:w="0" w:type="dxa"/>
        <w:left w:w="108" w:type="dxa"/>
        <w:bottom w:w="0" w:type="dxa"/>
        <w:right w:w="108" w:type="dxa"/>
      </w:tblCellMar>
    </w:tblPr>
  </w:style>
  <w:style w:type="paragraph" w:styleId="5">
    <w:name w:val="annotation text"/>
    <w:basedOn w:val="1"/>
    <w:qFormat/>
    <w:uiPriority w:val="0"/>
    <w:pPr>
      <w:jc w:val="left"/>
    </w:pPr>
  </w:style>
  <w:style w:type="paragraph" w:styleId="6">
    <w:name w:val="Body Text Indent"/>
    <w:basedOn w:val="1"/>
    <w:qFormat/>
    <w:uiPriority w:val="0"/>
    <w:pPr>
      <w:ind w:firstLine="640" w:firstLineChars="200"/>
    </w:pPr>
    <w:rPr>
      <w:rFonts w:ascii="仿宋_GB2312" w:eastAsia="仿宋_GB2312"/>
      <w:sz w:val="32"/>
    </w:rPr>
  </w:style>
  <w:style w:type="paragraph" w:styleId="7">
    <w:name w:val="footer"/>
    <w:basedOn w:val="1"/>
    <w:link w:val="24"/>
    <w:unhideWhenUsed/>
    <w:qFormat/>
    <w:uiPriority w:val="99"/>
    <w:pPr>
      <w:tabs>
        <w:tab w:val="center" w:pos="4153"/>
        <w:tab w:val="right" w:pos="8306"/>
      </w:tabs>
      <w:snapToGrid w:val="0"/>
      <w:jc w:val="left"/>
    </w:pPr>
    <w:rPr>
      <w:sz w:val="18"/>
      <w:szCs w:val="18"/>
    </w:rPr>
  </w:style>
  <w:style w:type="paragraph" w:styleId="8">
    <w:name w:val="header"/>
    <w:basedOn w:val="1"/>
    <w:link w:val="23"/>
    <w:unhideWhenUsed/>
    <w:qFormat/>
    <w:uiPriority w:val="99"/>
    <w:pPr>
      <w:tabs>
        <w:tab w:val="center" w:pos="4153"/>
        <w:tab w:val="right" w:pos="8306"/>
      </w:tabs>
      <w:snapToGrid w:val="0"/>
      <w:jc w:val="center"/>
    </w:pPr>
    <w:rPr>
      <w:sz w:val="18"/>
      <w:szCs w:val="18"/>
    </w:rPr>
  </w:style>
  <w:style w:type="paragraph" w:styleId="9">
    <w:name w:val="Normal (Web)"/>
    <w:basedOn w:val="1"/>
    <w:qFormat/>
    <w:uiPriority w:val="0"/>
    <w:pPr>
      <w:widowControl/>
      <w:spacing w:before="100" w:beforeAutospacing="1" w:after="100" w:afterAutospacing="1" w:line="330" w:lineRule="atLeast"/>
      <w:jc w:val="left"/>
    </w:pPr>
    <w:rPr>
      <w:rFonts w:ascii="宋体" w:hAnsi="宋体" w:cs="宋体"/>
      <w:kern w:val="0"/>
      <w:sz w:val="22"/>
      <w:szCs w:val="22"/>
    </w:rPr>
  </w:style>
  <w:style w:type="paragraph" w:styleId="10">
    <w:name w:val="annotation subject"/>
    <w:basedOn w:val="5"/>
    <w:next w:val="5"/>
    <w:qFormat/>
    <w:uiPriority w:val="0"/>
    <w:rPr>
      <w:b/>
      <w:bCs/>
    </w:rPr>
  </w:style>
  <w:style w:type="character" w:styleId="13">
    <w:name w:val="Hyperlink"/>
    <w:basedOn w:val="12"/>
    <w:qFormat/>
    <w:uiPriority w:val="0"/>
    <w:rPr>
      <w:b/>
      <w:bCs/>
      <w:color w:val="0000CC"/>
      <w:sz w:val="22"/>
      <w:szCs w:val="22"/>
      <w:u w:val="single"/>
    </w:rPr>
  </w:style>
  <w:style w:type="character" w:styleId="14">
    <w:name w:val="annotation reference"/>
    <w:basedOn w:val="12"/>
    <w:qFormat/>
    <w:uiPriority w:val="0"/>
    <w:rPr>
      <w:sz w:val="21"/>
      <w:szCs w:val="21"/>
    </w:rPr>
  </w:style>
  <w:style w:type="character" w:customStyle="1" w:styleId="15">
    <w:name w:val="标题 2 字符"/>
    <w:basedOn w:val="12"/>
    <w:link w:val="3"/>
    <w:qFormat/>
    <w:uiPriority w:val="0"/>
    <w:rPr>
      <w:rFonts w:ascii="Calibri Light" w:hAnsi="Calibri Light" w:eastAsia="宋体" w:cs="Times New Roman"/>
      <w:b/>
      <w:bCs/>
      <w:kern w:val="2"/>
      <w:sz w:val="32"/>
      <w:szCs w:val="32"/>
      <w:lang w:val="en-US" w:eastAsia="zh-CN" w:bidi="ar-SA"/>
    </w:rPr>
  </w:style>
  <w:style w:type="character" w:customStyle="1" w:styleId="16">
    <w:name w:val="标题 1 字符"/>
    <w:basedOn w:val="12"/>
    <w:link w:val="2"/>
    <w:qFormat/>
    <w:uiPriority w:val="0"/>
    <w:rPr>
      <w:rFonts w:ascii="Calibri" w:hAnsi="Calibri" w:eastAsia="宋体" w:cs="Calibri"/>
      <w:b/>
      <w:bCs/>
      <w:kern w:val="44"/>
      <w:sz w:val="44"/>
      <w:szCs w:val="44"/>
      <w:lang w:val="en-US" w:eastAsia="zh-CN" w:bidi="ar-SA"/>
    </w:rPr>
  </w:style>
  <w:style w:type="character" w:customStyle="1" w:styleId="17">
    <w:name w:val="标题 3 字符"/>
    <w:basedOn w:val="12"/>
    <w:link w:val="4"/>
    <w:qFormat/>
    <w:uiPriority w:val="0"/>
    <w:rPr>
      <w:rFonts w:ascii="Calibri" w:hAnsi="Calibri" w:eastAsia="宋体" w:cs="Calibri"/>
      <w:b/>
      <w:bCs/>
      <w:kern w:val="2"/>
      <w:sz w:val="32"/>
      <w:szCs w:val="32"/>
      <w:lang w:val="en-US" w:eastAsia="zh-CN" w:bidi="ar-SA"/>
    </w:rPr>
  </w:style>
  <w:style w:type="paragraph" w:customStyle="1" w:styleId="18">
    <w:name w:val="修订1"/>
    <w:qFormat/>
    <w:uiPriority w:val="0"/>
    <w:rPr>
      <w:rFonts w:ascii="Calibri" w:hAnsi="Calibri" w:eastAsia="宋体" w:cs="Calibri"/>
      <w:kern w:val="2"/>
      <w:sz w:val="21"/>
      <w:szCs w:val="21"/>
      <w:lang w:val="en-US" w:eastAsia="zh-CN" w:bidi="ar-SA"/>
    </w:rPr>
  </w:style>
  <w:style w:type="paragraph" w:styleId="19">
    <w:name w:val="List Paragraph"/>
    <w:basedOn w:val="1"/>
    <w:qFormat/>
    <w:uiPriority w:val="0"/>
    <w:pPr>
      <w:ind w:firstLine="200" w:firstLineChars="200"/>
    </w:pPr>
  </w:style>
  <w:style w:type="paragraph" w:customStyle="1" w:styleId="20">
    <w:name w:val="修订2"/>
    <w:qFormat/>
    <w:uiPriority w:val="0"/>
    <w:rPr>
      <w:rFonts w:ascii="Calibri" w:hAnsi="Calibri" w:eastAsia="宋体" w:cs="Calibri"/>
      <w:kern w:val="2"/>
      <w:sz w:val="21"/>
      <w:szCs w:val="21"/>
      <w:lang w:val="en-US" w:eastAsia="zh-CN" w:bidi="ar-SA"/>
    </w:rPr>
  </w:style>
  <w:style w:type="paragraph" w:customStyle="1" w:styleId="21">
    <w:name w:val="修订3"/>
    <w:hidden/>
    <w:semiHidden/>
    <w:qFormat/>
    <w:uiPriority w:val="99"/>
    <w:rPr>
      <w:rFonts w:ascii="Calibri" w:hAnsi="Calibri" w:eastAsia="宋体" w:cs="Calibri"/>
      <w:kern w:val="2"/>
      <w:sz w:val="21"/>
      <w:szCs w:val="21"/>
      <w:lang w:val="en-US" w:eastAsia="zh-CN" w:bidi="ar-SA"/>
    </w:rPr>
  </w:style>
  <w:style w:type="paragraph" w:customStyle="1" w:styleId="22">
    <w:name w:val="Revision"/>
    <w:hidden/>
    <w:unhideWhenUsed/>
    <w:qFormat/>
    <w:uiPriority w:val="99"/>
    <w:rPr>
      <w:rFonts w:ascii="Calibri" w:hAnsi="Calibri" w:eastAsia="宋体" w:cs="Calibri"/>
      <w:kern w:val="2"/>
      <w:sz w:val="21"/>
      <w:szCs w:val="21"/>
      <w:lang w:val="en-US" w:eastAsia="zh-CN" w:bidi="ar-SA"/>
    </w:rPr>
  </w:style>
  <w:style w:type="character" w:customStyle="1" w:styleId="23">
    <w:name w:val="页眉 字符"/>
    <w:basedOn w:val="12"/>
    <w:link w:val="8"/>
    <w:qFormat/>
    <w:uiPriority w:val="99"/>
    <w:rPr>
      <w:rFonts w:ascii="Calibri" w:hAnsi="Calibri" w:cs="Calibri"/>
      <w:kern w:val="2"/>
      <w:sz w:val="18"/>
      <w:szCs w:val="18"/>
    </w:rPr>
  </w:style>
  <w:style w:type="character" w:customStyle="1" w:styleId="24">
    <w:name w:val="页脚 字符"/>
    <w:basedOn w:val="12"/>
    <w:link w:val="7"/>
    <w:qFormat/>
    <w:uiPriority w:val="99"/>
    <w:rPr>
      <w:rFonts w:ascii="Calibri" w:hAnsi="Calibri" w:cs="Calibri"/>
      <w:kern w:val="2"/>
      <w:sz w:val="18"/>
      <w:szCs w:val="18"/>
    </w:rPr>
  </w:style>
</w:styles>
</file>

<file path=word/_rels/document.xml.rels><?xml version="1.0" encoding="UTF-8" standalone="yes"?>
<Relationships xmlns="http://schemas.openxmlformats.org/package/2006/relationships"><Relationship Id="rId9" Type="http://schemas.openxmlformats.org/officeDocument/2006/relationships/image" Target="media/image6.png"/><Relationship Id="rId8" Type="http://schemas.openxmlformats.org/officeDocument/2006/relationships/image" Target="media/image5.png"/><Relationship Id="rId7" Type="http://schemas.openxmlformats.org/officeDocument/2006/relationships/image" Target="media/image4.png"/><Relationship Id="rId6" Type="http://schemas.openxmlformats.org/officeDocument/2006/relationships/image" Target="media/image3.png"/><Relationship Id="rId5" Type="http://schemas.openxmlformats.org/officeDocument/2006/relationships/image" Target="media/image2.png"/><Relationship Id="rId4" Type="http://schemas.openxmlformats.org/officeDocument/2006/relationships/image" Target="media/image1.png"/><Relationship Id="rId3" Type="http://schemas.openxmlformats.org/officeDocument/2006/relationships/theme" Target="theme/theme1.xml"/><Relationship Id="rId29" Type="http://schemas.openxmlformats.org/officeDocument/2006/relationships/fontTable" Target="fontTable.xml"/><Relationship Id="rId28" Type="http://schemas.openxmlformats.org/officeDocument/2006/relationships/customXml" Target="../customXml/item1.xml"/><Relationship Id="rId27" Type="http://schemas.openxmlformats.org/officeDocument/2006/relationships/image" Target="media/image24.png"/><Relationship Id="rId26" Type="http://schemas.openxmlformats.org/officeDocument/2006/relationships/image" Target="media/image23.emf"/><Relationship Id="rId25" Type="http://schemas.openxmlformats.org/officeDocument/2006/relationships/image" Target="media/image22.png"/><Relationship Id="rId24" Type="http://schemas.openxmlformats.org/officeDocument/2006/relationships/image" Target="media/image21.png"/><Relationship Id="rId23" Type="http://schemas.openxmlformats.org/officeDocument/2006/relationships/image" Target="media/image20.png"/><Relationship Id="rId22" Type="http://schemas.openxmlformats.org/officeDocument/2006/relationships/image" Target="media/image19.png"/><Relationship Id="rId21" Type="http://schemas.openxmlformats.org/officeDocument/2006/relationships/image" Target="media/image18.png"/><Relationship Id="rId20" Type="http://schemas.openxmlformats.org/officeDocument/2006/relationships/image" Target="media/image17.png"/><Relationship Id="rId2" Type="http://schemas.openxmlformats.org/officeDocument/2006/relationships/settings" Target="settings.xml"/><Relationship Id="rId19" Type="http://schemas.openxmlformats.org/officeDocument/2006/relationships/image" Target="media/image16.png"/><Relationship Id="rId18" Type="http://schemas.openxmlformats.org/officeDocument/2006/relationships/image" Target="media/image15.png"/><Relationship Id="rId17" Type="http://schemas.openxmlformats.org/officeDocument/2006/relationships/image" Target="media/image14.png"/><Relationship Id="rId16" Type="http://schemas.openxmlformats.org/officeDocument/2006/relationships/image" Target="media/image13.png"/><Relationship Id="rId15" Type="http://schemas.openxmlformats.org/officeDocument/2006/relationships/image" Target="media/image12.png"/><Relationship Id="rId14" Type="http://schemas.openxmlformats.org/officeDocument/2006/relationships/image" Target="media/image11.png"/><Relationship Id="rId13" Type="http://schemas.openxmlformats.org/officeDocument/2006/relationships/image" Target="media/image10.png"/><Relationship Id="rId12" Type="http://schemas.openxmlformats.org/officeDocument/2006/relationships/image" Target="media/image9.png"/><Relationship Id="rId11" Type="http://schemas.openxmlformats.org/officeDocument/2006/relationships/image" Target="media/image8.png"/><Relationship Id="rId10" Type="http://schemas.openxmlformats.org/officeDocument/2006/relationships/image" Target="media/image7.png"/><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主题">
      <a:dk1>
        <a:srgbClr val="000000"/>
      </a:dk1>
      <a:lt1>
        <a:srgbClr val="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主题">
      <a:majorFont>
        <a:latin typeface=""/>
        <a:ea typeface=""/>
        <a:cs typeface=""/>
      </a:majorFont>
      <a:minorFont>
        <a:latin typeface=""/>
        <a:ea typeface=""/>
        <a:cs typeface=""/>
      </a:minorFont>
    </a:fontScheme>
    <a:fmtScheme name="Office 主题">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1"/>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1"/>
        </a:gradFill>
      </a:fillStyleLst>
      <a:lnStyleLst>
        <a:ln w="6350" cap="flat" cmpd="sng">
          <a:solidFill>
            <a:schemeClr val="phClr"/>
          </a:solidFill>
          <a:prstDash val="solid"/>
          <a:miter/>
        </a:ln>
        <a:ln w="12700" cap="flat" cmpd="sng">
          <a:solidFill>
            <a:schemeClr val="phClr"/>
          </a:solidFill>
          <a:prstDash val="solid"/>
          <a:miter/>
        </a:ln>
        <a:ln w="19050" cap="flat" cmpd="sng">
          <a:solidFill>
            <a:schemeClr val="phClr"/>
          </a:solidFill>
          <a:prstDash val="solid"/>
          <a:miter/>
        </a:ln>
      </a:lnStyleLst>
      <a:effectStyleLst>
        <a:effectStyle>
          <a:effectLst/>
        </a:effectStyle>
        <a:effectStyle>
          <a:effectLst/>
        </a:effectStyle>
        <a:effectStyle>
          <a:effectLst>
            <a:outerShdw blurRad="57150" dist="19050" dir="5400000" algn="ctr" rotWithShape="0">
              <a:srgbClr val="000000">
                <a:alpha val="62745"/>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1"/>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customData xmlns="http://www.yozosoft.com.cn/officeDocument/2016/customData">
  <customProps>
    <docPr revisions="3 0 5 0 0 0 1 0 0 0 3000 0 1 1 1 1"/>
    <sectPr/>
  </customProps>
</customData>
</file>

<file path=customXml/itemProps1.xml><?xml version="1.0" encoding="utf-8"?>
<ds:datastoreItem xmlns:ds="http://schemas.openxmlformats.org/officeDocument/2006/customXml" ds:itemID="{06BCC5BC-54B2-4AC5-AF66-0938548B3607}">
  <ds:schemaRefs/>
</ds:datastoreItem>
</file>

<file path=docProps/app.xml><?xml version="1.0" encoding="utf-8"?>
<Properties xmlns="http://schemas.openxmlformats.org/officeDocument/2006/extended-properties" xmlns:vt="http://schemas.openxmlformats.org/officeDocument/2006/docPropsVTypes">
  <Template>Normal.dotm</Template>
  <Company>P R C</Company>
  <Pages>44</Pages>
  <Words>7640</Words>
  <Characters>9082</Characters>
  <Lines>24</Lines>
  <Paragraphs>7</Paragraphs>
  <TotalTime>1</TotalTime>
  <ScaleCrop>false</ScaleCrop>
  <LinksUpToDate>false</LinksUpToDate>
  <CharactersWithSpaces>9141</CharactersWithSpaces>
  <Application>WPS Office_12.1.0.19770_F1E327BC-269C-435d-A152-05C5408002CA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2024-10-09T07:06:00Z</dcterms:created>
  <dc:creator>lenovo</dc:creator>
  <cp:lastModifiedBy>Athena </cp:lastModifiedBy>
  <cp:lastPrinted>2024-10-09T06:33:00Z</cp:lastPrinted>
  <dcterms:modified xsi:type="dcterms:W3CDTF">2025-02-25T02:07:57Z</dcterms:modified>
  <cp:revision>6</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2052-12.1.0.19770</vt:lpwstr>
  </property>
  <property fmtid="{D5CDD505-2E9C-101B-9397-08002B2CF9AE}" pid="3" name="ICV">
    <vt:lpwstr>D864F1CE70E341358B4F6B6A987ABF16</vt:lpwstr>
  </property>
  <property fmtid="{D5CDD505-2E9C-101B-9397-08002B2CF9AE}" pid="4" name="KSOTemplateDocerSaveRecord">
    <vt:lpwstr>eyJoZGlkIjoiMGY5MjU1YTg1NmJjMjA2OGU1YTY2YjhkMmEwMWVlNDciLCJ1c2VySWQiOiI1OTM5ODEyMjkifQ==</vt:lpwstr>
  </property>
</Properties>
</file>